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76" w:type="dxa"/>
        <w:tblLayout w:type="fixed"/>
        <w:tblCellMar>
          <w:left w:w="30" w:type="dxa"/>
          <w:right w:w="30" w:type="dxa"/>
        </w:tblCellMar>
        <w:tblLook w:val="0000" w:firstRow="0" w:lastRow="0" w:firstColumn="0" w:lastColumn="0" w:noHBand="0" w:noVBand="0"/>
      </w:tblPr>
      <w:tblGrid>
        <w:gridCol w:w="565"/>
        <w:gridCol w:w="199"/>
        <w:gridCol w:w="331"/>
        <w:gridCol w:w="453"/>
        <w:gridCol w:w="6537"/>
        <w:gridCol w:w="305"/>
        <w:gridCol w:w="1276"/>
        <w:gridCol w:w="210"/>
      </w:tblGrid>
      <w:tr w:rsidR="004E46A3" w14:paraId="6072C2FE" w14:textId="77777777" w:rsidTr="0AB179E6">
        <w:trPr>
          <w:gridAfter w:val="1"/>
          <w:wAfter w:w="210" w:type="dxa"/>
          <w:trHeight w:val="268"/>
        </w:trPr>
        <w:tc>
          <w:tcPr>
            <w:tcW w:w="565" w:type="dxa"/>
          </w:tcPr>
          <w:p w14:paraId="054E3BD7" w14:textId="35AA5BF3" w:rsidR="004E46A3" w:rsidRDefault="003E3C2A">
            <w:pPr>
              <w:jc w:val="right"/>
              <w:rPr>
                <w:rFonts w:ascii="Helv" w:hAnsi="Helv"/>
                <w:snapToGrid w:val="0"/>
                <w:color w:val="000000"/>
                <w:sz w:val="21"/>
              </w:rPr>
            </w:pPr>
            <w:r>
              <w:rPr>
                <w:rFonts w:ascii="Helv" w:hAnsi="Helv"/>
                <w:snapToGrid w:val="0"/>
                <w:color w:val="000000"/>
                <w:sz w:val="21"/>
              </w:rPr>
              <w:t xml:space="preserve"> </w:t>
            </w:r>
          </w:p>
        </w:tc>
        <w:tc>
          <w:tcPr>
            <w:tcW w:w="199" w:type="dxa"/>
          </w:tcPr>
          <w:p w14:paraId="255A5424" w14:textId="77777777" w:rsidR="004E46A3" w:rsidRDefault="004E46A3">
            <w:pPr>
              <w:jc w:val="right"/>
              <w:rPr>
                <w:rFonts w:ascii="Helv" w:hAnsi="Helv"/>
                <w:snapToGrid w:val="0"/>
                <w:color w:val="000000"/>
                <w:sz w:val="21"/>
              </w:rPr>
            </w:pPr>
          </w:p>
        </w:tc>
        <w:tc>
          <w:tcPr>
            <w:tcW w:w="331" w:type="dxa"/>
          </w:tcPr>
          <w:p w14:paraId="155AA2ED" w14:textId="77777777" w:rsidR="004E46A3" w:rsidRDefault="004E46A3">
            <w:pPr>
              <w:jc w:val="right"/>
              <w:rPr>
                <w:rFonts w:ascii="Helv" w:hAnsi="Helv"/>
                <w:snapToGrid w:val="0"/>
                <w:color w:val="000000"/>
                <w:sz w:val="21"/>
              </w:rPr>
            </w:pPr>
          </w:p>
        </w:tc>
        <w:tc>
          <w:tcPr>
            <w:tcW w:w="453" w:type="dxa"/>
          </w:tcPr>
          <w:p w14:paraId="51291A44" w14:textId="77777777" w:rsidR="004E46A3" w:rsidRDefault="004E46A3">
            <w:pPr>
              <w:jc w:val="right"/>
              <w:rPr>
                <w:rFonts w:ascii="Helv" w:hAnsi="Helv"/>
                <w:snapToGrid w:val="0"/>
                <w:color w:val="000000"/>
                <w:sz w:val="21"/>
              </w:rPr>
            </w:pPr>
          </w:p>
        </w:tc>
        <w:tc>
          <w:tcPr>
            <w:tcW w:w="6537" w:type="dxa"/>
          </w:tcPr>
          <w:p w14:paraId="30E17713" w14:textId="77777777" w:rsidR="004E46A3" w:rsidRDefault="00131D40">
            <w:pPr>
              <w:jc w:val="center"/>
              <w:rPr>
                <w:rFonts w:ascii="Helv" w:hAnsi="Helv"/>
                <w:snapToGrid w:val="0"/>
                <w:color w:val="000000"/>
                <w:sz w:val="21"/>
              </w:rPr>
            </w:pPr>
            <w:r>
              <w:rPr>
                <w:rFonts w:ascii="Helv" w:hAnsi="Helv"/>
                <w:snapToGrid w:val="0"/>
                <w:color w:val="000000"/>
                <w:sz w:val="21"/>
              </w:rPr>
              <w:t xml:space="preserve">   YEAR-END ACTIVITY CHECK</w:t>
            </w:r>
            <w:r w:rsidR="004E46A3">
              <w:rPr>
                <w:rFonts w:ascii="Helv" w:hAnsi="Helv"/>
                <w:snapToGrid w:val="0"/>
                <w:color w:val="000000"/>
                <w:sz w:val="21"/>
              </w:rPr>
              <w:t>LIST</w:t>
            </w:r>
          </w:p>
        </w:tc>
        <w:tc>
          <w:tcPr>
            <w:tcW w:w="1581" w:type="dxa"/>
            <w:gridSpan w:val="2"/>
          </w:tcPr>
          <w:p w14:paraId="54A1DB9C" w14:textId="77777777" w:rsidR="004E46A3" w:rsidRPr="005608ED" w:rsidRDefault="005608ED">
            <w:pPr>
              <w:jc w:val="right"/>
              <w:rPr>
                <w:rFonts w:ascii="Helv" w:hAnsi="Helv"/>
                <w:snapToGrid w:val="0"/>
                <w:color w:val="000000"/>
                <w:sz w:val="18"/>
                <w:szCs w:val="18"/>
              </w:rPr>
            </w:pPr>
            <w:r>
              <w:rPr>
                <w:rFonts w:ascii="Helv" w:hAnsi="Helv"/>
                <w:snapToGrid w:val="0"/>
                <w:color w:val="000000"/>
                <w:sz w:val="18"/>
                <w:szCs w:val="18"/>
              </w:rPr>
              <w:t>ATTACHMENT 1</w:t>
            </w:r>
          </w:p>
        </w:tc>
      </w:tr>
      <w:tr w:rsidR="007D5F14" w14:paraId="44E37A95" w14:textId="77777777" w:rsidTr="0AB179E6">
        <w:trPr>
          <w:gridAfter w:val="1"/>
          <w:wAfter w:w="210" w:type="dxa"/>
          <w:trHeight w:val="268"/>
        </w:trPr>
        <w:tc>
          <w:tcPr>
            <w:tcW w:w="565" w:type="dxa"/>
          </w:tcPr>
          <w:p w14:paraId="2DAF6384" w14:textId="77777777" w:rsidR="007D5F14" w:rsidRDefault="007D5F14">
            <w:pPr>
              <w:jc w:val="right"/>
              <w:rPr>
                <w:rFonts w:ascii="Helv" w:hAnsi="Helv"/>
                <w:snapToGrid w:val="0"/>
                <w:color w:val="000000"/>
                <w:sz w:val="21"/>
              </w:rPr>
            </w:pPr>
          </w:p>
        </w:tc>
        <w:tc>
          <w:tcPr>
            <w:tcW w:w="199" w:type="dxa"/>
          </w:tcPr>
          <w:p w14:paraId="3C897F3E" w14:textId="77777777" w:rsidR="007D5F14" w:rsidRDefault="007D5F14">
            <w:pPr>
              <w:jc w:val="right"/>
              <w:rPr>
                <w:rFonts w:ascii="Helv" w:hAnsi="Helv"/>
                <w:snapToGrid w:val="0"/>
                <w:color w:val="000000"/>
                <w:sz w:val="21"/>
              </w:rPr>
            </w:pPr>
          </w:p>
        </w:tc>
        <w:tc>
          <w:tcPr>
            <w:tcW w:w="331" w:type="dxa"/>
          </w:tcPr>
          <w:p w14:paraId="01E34186" w14:textId="77777777" w:rsidR="007D5F14" w:rsidRDefault="007D5F14">
            <w:pPr>
              <w:jc w:val="right"/>
              <w:rPr>
                <w:rFonts w:ascii="Helv" w:hAnsi="Helv"/>
                <w:snapToGrid w:val="0"/>
                <w:color w:val="000000"/>
                <w:sz w:val="21"/>
              </w:rPr>
            </w:pPr>
          </w:p>
        </w:tc>
        <w:tc>
          <w:tcPr>
            <w:tcW w:w="453" w:type="dxa"/>
          </w:tcPr>
          <w:p w14:paraId="0655568C" w14:textId="77777777" w:rsidR="007D5F14" w:rsidRDefault="007D5F14">
            <w:pPr>
              <w:jc w:val="right"/>
              <w:rPr>
                <w:rFonts w:ascii="Helv" w:hAnsi="Helv"/>
                <w:snapToGrid w:val="0"/>
                <w:color w:val="000000"/>
                <w:sz w:val="21"/>
              </w:rPr>
            </w:pPr>
          </w:p>
        </w:tc>
        <w:tc>
          <w:tcPr>
            <w:tcW w:w="6537" w:type="dxa"/>
          </w:tcPr>
          <w:p w14:paraId="12E5FA6D" w14:textId="0955ED6C" w:rsidR="007D5F14" w:rsidRDefault="007D5F14" w:rsidP="4EF732C6">
            <w:pPr>
              <w:jc w:val="center"/>
              <w:rPr>
                <w:rFonts w:ascii="Helv" w:hAnsi="Helv"/>
                <w:snapToGrid w:val="0"/>
                <w:color w:val="000000"/>
                <w:sz w:val="21"/>
                <w:szCs w:val="21"/>
              </w:rPr>
            </w:pPr>
            <w:r w:rsidRPr="4EF732C6">
              <w:rPr>
                <w:rFonts w:ascii="Helv" w:hAnsi="Helv"/>
                <w:snapToGrid w:val="0"/>
                <w:color w:val="000000"/>
                <w:sz w:val="21"/>
                <w:szCs w:val="21"/>
              </w:rPr>
              <w:t xml:space="preserve">        JUNE 30, </w:t>
            </w:r>
            <w:r w:rsidR="00443BCB" w:rsidRPr="4EF732C6">
              <w:rPr>
                <w:rFonts w:ascii="Helv" w:hAnsi="Helv"/>
                <w:snapToGrid w:val="0"/>
                <w:color w:val="000000"/>
                <w:sz w:val="21"/>
                <w:szCs w:val="21"/>
              </w:rPr>
              <w:t>20</w:t>
            </w:r>
            <w:r w:rsidR="009734CE" w:rsidRPr="4EF732C6">
              <w:rPr>
                <w:rFonts w:ascii="Helv" w:hAnsi="Helv"/>
                <w:snapToGrid w:val="0"/>
                <w:color w:val="000000"/>
                <w:sz w:val="21"/>
                <w:szCs w:val="21"/>
              </w:rPr>
              <w:t>2</w:t>
            </w:r>
            <w:r w:rsidR="00977E57">
              <w:rPr>
                <w:rFonts w:ascii="Helv" w:hAnsi="Helv"/>
                <w:snapToGrid w:val="0"/>
                <w:color w:val="000000"/>
                <w:sz w:val="21"/>
                <w:szCs w:val="21"/>
              </w:rPr>
              <w:t>5</w:t>
            </w:r>
          </w:p>
          <w:p w14:paraId="1BC4EF99" w14:textId="77777777" w:rsidR="004F3F7B" w:rsidRDefault="004F3F7B" w:rsidP="00611984">
            <w:pPr>
              <w:jc w:val="center"/>
              <w:rPr>
                <w:rFonts w:ascii="Helv" w:hAnsi="Helv"/>
                <w:snapToGrid w:val="0"/>
                <w:color w:val="000000"/>
                <w:sz w:val="21"/>
              </w:rPr>
            </w:pPr>
          </w:p>
        </w:tc>
        <w:tc>
          <w:tcPr>
            <w:tcW w:w="1581" w:type="dxa"/>
            <w:gridSpan w:val="2"/>
          </w:tcPr>
          <w:p w14:paraId="6D287A29" w14:textId="77777777" w:rsidR="007D5F14" w:rsidRDefault="007D5F14" w:rsidP="00B32803">
            <w:pPr>
              <w:jc w:val="center"/>
              <w:rPr>
                <w:rFonts w:ascii="Helv" w:hAnsi="Helv"/>
                <w:snapToGrid w:val="0"/>
                <w:color w:val="000000"/>
                <w:sz w:val="21"/>
              </w:rPr>
            </w:pPr>
          </w:p>
        </w:tc>
      </w:tr>
      <w:tr w:rsidR="007D5F14" w14:paraId="5FBCF275" w14:textId="77777777" w:rsidTr="0AB179E6">
        <w:trPr>
          <w:gridAfter w:val="1"/>
          <w:wAfter w:w="210" w:type="dxa"/>
          <w:trHeight w:val="268"/>
        </w:trPr>
        <w:tc>
          <w:tcPr>
            <w:tcW w:w="565" w:type="dxa"/>
          </w:tcPr>
          <w:p w14:paraId="65E275C7" w14:textId="77777777" w:rsidR="007D5F14" w:rsidRDefault="007D5F14">
            <w:pPr>
              <w:jc w:val="right"/>
              <w:rPr>
                <w:rFonts w:ascii="Helv" w:hAnsi="Helv"/>
                <w:snapToGrid w:val="0"/>
                <w:color w:val="000000"/>
                <w:sz w:val="21"/>
              </w:rPr>
            </w:pPr>
          </w:p>
        </w:tc>
        <w:tc>
          <w:tcPr>
            <w:tcW w:w="199" w:type="dxa"/>
          </w:tcPr>
          <w:p w14:paraId="3BCD305B" w14:textId="77777777" w:rsidR="007D5F14" w:rsidRDefault="007D5F14">
            <w:pPr>
              <w:jc w:val="right"/>
              <w:rPr>
                <w:rFonts w:ascii="Helv" w:hAnsi="Helv"/>
                <w:snapToGrid w:val="0"/>
                <w:color w:val="000000"/>
                <w:sz w:val="21"/>
              </w:rPr>
            </w:pPr>
          </w:p>
        </w:tc>
        <w:tc>
          <w:tcPr>
            <w:tcW w:w="331" w:type="dxa"/>
          </w:tcPr>
          <w:p w14:paraId="49C4DD76" w14:textId="77777777" w:rsidR="007D5F14" w:rsidRDefault="007D5F14">
            <w:pPr>
              <w:jc w:val="right"/>
              <w:rPr>
                <w:rFonts w:ascii="Helv" w:hAnsi="Helv"/>
                <w:snapToGrid w:val="0"/>
                <w:color w:val="000000"/>
                <w:sz w:val="21"/>
              </w:rPr>
            </w:pPr>
          </w:p>
        </w:tc>
        <w:tc>
          <w:tcPr>
            <w:tcW w:w="453" w:type="dxa"/>
          </w:tcPr>
          <w:p w14:paraId="2070DFDF" w14:textId="77777777" w:rsidR="007D5F14" w:rsidRDefault="007D5F14">
            <w:pPr>
              <w:jc w:val="right"/>
              <w:rPr>
                <w:rFonts w:ascii="Helv" w:hAnsi="Helv"/>
                <w:snapToGrid w:val="0"/>
                <w:color w:val="000000"/>
                <w:sz w:val="21"/>
              </w:rPr>
            </w:pPr>
          </w:p>
        </w:tc>
        <w:tc>
          <w:tcPr>
            <w:tcW w:w="6537" w:type="dxa"/>
          </w:tcPr>
          <w:p w14:paraId="254925FC" w14:textId="77777777" w:rsidR="007D5F14" w:rsidRDefault="007D5F14">
            <w:pPr>
              <w:jc w:val="right"/>
              <w:rPr>
                <w:rFonts w:ascii="Helv" w:hAnsi="Helv"/>
                <w:snapToGrid w:val="0"/>
                <w:color w:val="000000"/>
                <w:sz w:val="21"/>
              </w:rPr>
            </w:pPr>
          </w:p>
        </w:tc>
        <w:tc>
          <w:tcPr>
            <w:tcW w:w="1581" w:type="dxa"/>
            <w:gridSpan w:val="2"/>
          </w:tcPr>
          <w:p w14:paraId="02430254" w14:textId="77777777" w:rsidR="007D5F14" w:rsidRDefault="007D5F14" w:rsidP="00B32803">
            <w:pPr>
              <w:jc w:val="center"/>
              <w:rPr>
                <w:rFonts w:ascii="Helv" w:hAnsi="Helv"/>
                <w:snapToGrid w:val="0"/>
                <w:color w:val="000000"/>
                <w:sz w:val="21"/>
              </w:rPr>
            </w:pPr>
            <w:r>
              <w:rPr>
                <w:rFonts w:ascii="Helv" w:hAnsi="Helv"/>
                <w:snapToGrid w:val="0"/>
                <w:color w:val="000000"/>
                <w:sz w:val="21"/>
              </w:rPr>
              <w:t>SCHEDULED</w:t>
            </w:r>
          </w:p>
        </w:tc>
      </w:tr>
      <w:tr w:rsidR="007D5F14" w14:paraId="793CBE3F" w14:textId="77777777" w:rsidTr="0AB179E6">
        <w:trPr>
          <w:gridAfter w:val="1"/>
          <w:wAfter w:w="210" w:type="dxa"/>
          <w:trHeight w:val="268"/>
        </w:trPr>
        <w:tc>
          <w:tcPr>
            <w:tcW w:w="565" w:type="dxa"/>
          </w:tcPr>
          <w:p w14:paraId="6EAE5735" w14:textId="77777777" w:rsidR="007D5F14" w:rsidRDefault="007D5F14">
            <w:pPr>
              <w:jc w:val="right"/>
              <w:rPr>
                <w:rFonts w:ascii="Helv" w:hAnsi="Helv"/>
                <w:snapToGrid w:val="0"/>
                <w:color w:val="000000"/>
                <w:sz w:val="21"/>
              </w:rPr>
            </w:pPr>
          </w:p>
        </w:tc>
        <w:tc>
          <w:tcPr>
            <w:tcW w:w="199" w:type="dxa"/>
          </w:tcPr>
          <w:p w14:paraId="315481E4" w14:textId="77777777" w:rsidR="007D5F14" w:rsidRDefault="007D5F14">
            <w:pPr>
              <w:jc w:val="right"/>
              <w:rPr>
                <w:rFonts w:ascii="Helv" w:hAnsi="Helv"/>
                <w:snapToGrid w:val="0"/>
                <w:color w:val="000000"/>
                <w:sz w:val="21"/>
              </w:rPr>
            </w:pPr>
          </w:p>
        </w:tc>
        <w:tc>
          <w:tcPr>
            <w:tcW w:w="331" w:type="dxa"/>
          </w:tcPr>
          <w:p w14:paraId="1207E890" w14:textId="77777777" w:rsidR="007D5F14" w:rsidRDefault="007D5F14">
            <w:pPr>
              <w:jc w:val="right"/>
              <w:rPr>
                <w:rFonts w:ascii="Helv" w:hAnsi="Helv"/>
                <w:snapToGrid w:val="0"/>
                <w:color w:val="000000"/>
                <w:sz w:val="21"/>
              </w:rPr>
            </w:pPr>
          </w:p>
        </w:tc>
        <w:tc>
          <w:tcPr>
            <w:tcW w:w="453" w:type="dxa"/>
          </w:tcPr>
          <w:p w14:paraId="5471A2E5" w14:textId="77777777" w:rsidR="007D5F14" w:rsidRDefault="007D5F14">
            <w:pPr>
              <w:jc w:val="right"/>
              <w:rPr>
                <w:rFonts w:ascii="Helv" w:hAnsi="Helv"/>
                <w:snapToGrid w:val="0"/>
                <w:color w:val="000000"/>
                <w:sz w:val="21"/>
              </w:rPr>
            </w:pPr>
          </w:p>
        </w:tc>
        <w:tc>
          <w:tcPr>
            <w:tcW w:w="6537" w:type="dxa"/>
          </w:tcPr>
          <w:p w14:paraId="26830914" w14:textId="77777777" w:rsidR="007D5F14" w:rsidRPr="005E401F" w:rsidRDefault="007D5F14">
            <w:pPr>
              <w:jc w:val="right"/>
              <w:rPr>
                <w:rFonts w:ascii="Helv" w:hAnsi="Helv"/>
                <w:snapToGrid w:val="0"/>
                <w:sz w:val="21"/>
              </w:rPr>
            </w:pPr>
          </w:p>
        </w:tc>
        <w:tc>
          <w:tcPr>
            <w:tcW w:w="1581" w:type="dxa"/>
            <w:gridSpan w:val="2"/>
          </w:tcPr>
          <w:p w14:paraId="0C000E99" w14:textId="77777777" w:rsidR="007D5F14" w:rsidRDefault="007D5F14" w:rsidP="00B32803">
            <w:pPr>
              <w:jc w:val="center"/>
              <w:rPr>
                <w:rFonts w:ascii="Helv" w:hAnsi="Helv"/>
                <w:snapToGrid w:val="0"/>
                <w:color w:val="000000"/>
                <w:sz w:val="21"/>
              </w:rPr>
            </w:pPr>
            <w:r>
              <w:rPr>
                <w:rFonts w:ascii="Helv" w:hAnsi="Helv"/>
                <w:snapToGrid w:val="0"/>
                <w:color w:val="000000"/>
                <w:sz w:val="21"/>
              </w:rPr>
              <w:t>COMPLETION</w:t>
            </w:r>
          </w:p>
        </w:tc>
      </w:tr>
      <w:tr w:rsidR="007D5F14" w14:paraId="1BDC9AF6" w14:textId="77777777" w:rsidTr="0AB179E6">
        <w:trPr>
          <w:gridAfter w:val="1"/>
          <w:wAfter w:w="210" w:type="dxa"/>
          <w:trHeight w:val="268"/>
        </w:trPr>
        <w:tc>
          <w:tcPr>
            <w:tcW w:w="565" w:type="dxa"/>
            <w:tcBorders>
              <w:bottom w:val="single" w:sz="4" w:space="0" w:color="auto"/>
            </w:tcBorders>
          </w:tcPr>
          <w:p w14:paraId="2A5B7FB5" w14:textId="77777777" w:rsidR="007D5F14" w:rsidRDefault="007D5F14">
            <w:pPr>
              <w:jc w:val="right"/>
              <w:rPr>
                <w:rFonts w:ascii="Helv" w:hAnsi="Helv"/>
                <w:snapToGrid w:val="0"/>
                <w:color w:val="000000"/>
                <w:sz w:val="21"/>
              </w:rPr>
            </w:pPr>
          </w:p>
        </w:tc>
        <w:tc>
          <w:tcPr>
            <w:tcW w:w="199" w:type="dxa"/>
            <w:tcBorders>
              <w:bottom w:val="single" w:sz="4" w:space="0" w:color="auto"/>
            </w:tcBorders>
          </w:tcPr>
          <w:p w14:paraId="133F104F" w14:textId="77777777" w:rsidR="007D5F14" w:rsidRDefault="007D5F14">
            <w:pPr>
              <w:jc w:val="right"/>
              <w:rPr>
                <w:rFonts w:ascii="Helv" w:hAnsi="Helv"/>
                <w:snapToGrid w:val="0"/>
                <w:color w:val="000000"/>
                <w:sz w:val="21"/>
              </w:rPr>
            </w:pPr>
          </w:p>
        </w:tc>
        <w:tc>
          <w:tcPr>
            <w:tcW w:w="331" w:type="dxa"/>
            <w:tcBorders>
              <w:bottom w:val="single" w:sz="4" w:space="0" w:color="auto"/>
            </w:tcBorders>
          </w:tcPr>
          <w:p w14:paraId="75615A19" w14:textId="77777777" w:rsidR="007D5F14" w:rsidRDefault="007D5F14">
            <w:pPr>
              <w:jc w:val="right"/>
              <w:rPr>
                <w:rFonts w:ascii="Helv" w:hAnsi="Helv"/>
                <w:snapToGrid w:val="0"/>
                <w:color w:val="000000"/>
                <w:sz w:val="21"/>
              </w:rPr>
            </w:pPr>
          </w:p>
        </w:tc>
        <w:tc>
          <w:tcPr>
            <w:tcW w:w="453" w:type="dxa"/>
            <w:tcBorders>
              <w:bottom w:val="single" w:sz="4" w:space="0" w:color="auto"/>
            </w:tcBorders>
          </w:tcPr>
          <w:p w14:paraId="32CA6226" w14:textId="77777777" w:rsidR="007D5F14" w:rsidRDefault="007D5F14">
            <w:pPr>
              <w:jc w:val="right"/>
              <w:rPr>
                <w:rFonts w:ascii="Helv" w:hAnsi="Helv"/>
                <w:snapToGrid w:val="0"/>
                <w:color w:val="000000"/>
                <w:sz w:val="21"/>
              </w:rPr>
            </w:pPr>
          </w:p>
        </w:tc>
        <w:tc>
          <w:tcPr>
            <w:tcW w:w="6537" w:type="dxa"/>
            <w:tcBorders>
              <w:bottom w:val="single" w:sz="4" w:space="0" w:color="auto"/>
            </w:tcBorders>
          </w:tcPr>
          <w:p w14:paraId="19242965" w14:textId="08B5EB21" w:rsidR="007D5F14" w:rsidRPr="005E401F" w:rsidRDefault="006B52F2" w:rsidP="4EF732C6">
            <w:pPr>
              <w:jc w:val="center"/>
              <w:rPr>
                <w:rFonts w:ascii="Helv" w:hAnsi="Helv"/>
                <w:snapToGrid w:val="0"/>
                <w:sz w:val="21"/>
                <w:szCs w:val="21"/>
              </w:rPr>
            </w:pPr>
            <w:r w:rsidRPr="4EF732C6">
              <w:rPr>
                <w:rFonts w:ascii="Helv" w:hAnsi="Helv"/>
                <w:snapToGrid w:val="0"/>
                <w:sz w:val="21"/>
                <w:szCs w:val="21"/>
              </w:rPr>
              <w:t>File Revision Date</w:t>
            </w:r>
            <w:proofErr w:type="gramStart"/>
            <w:r w:rsidRPr="4EF732C6">
              <w:rPr>
                <w:rFonts w:ascii="Helv" w:hAnsi="Helv"/>
                <w:snapToGrid w:val="0"/>
                <w:sz w:val="21"/>
                <w:szCs w:val="21"/>
              </w:rPr>
              <w:t xml:space="preserve">:  </w:t>
            </w:r>
            <w:r w:rsidR="004F2DF2">
              <w:rPr>
                <w:rFonts w:ascii="Helv" w:hAnsi="Helv"/>
                <w:snapToGrid w:val="0"/>
                <w:sz w:val="21"/>
                <w:szCs w:val="21"/>
              </w:rPr>
              <w:t>0</w:t>
            </w:r>
            <w:r w:rsidR="2F96EF95">
              <w:rPr>
                <w:rFonts w:ascii="Helv" w:hAnsi="Helv"/>
                <w:snapToGrid w:val="0"/>
                <w:sz w:val="21"/>
                <w:szCs w:val="21"/>
              </w:rPr>
              <w:t>3</w:t>
            </w:r>
            <w:proofErr w:type="gramEnd"/>
            <w:r w:rsidR="004F2DF2">
              <w:rPr>
                <w:rFonts w:ascii="Helv" w:hAnsi="Helv"/>
                <w:snapToGrid w:val="0"/>
                <w:sz w:val="21"/>
                <w:szCs w:val="21"/>
              </w:rPr>
              <w:t>/23/2025</w:t>
            </w:r>
          </w:p>
        </w:tc>
        <w:tc>
          <w:tcPr>
            <w:tcW w:w="1581" w:type="dxa"/>
            <w:gridSpan w:val="2"/>
            <w:tcBorders>
              <w:bottom w:val="single" w:sz="4" w:space="0" w:color="auto"/>
            </w:tcBorders>
          </w:tcPr>
          <w:p w14:paraId="1B54B626" w14:textId="77777777" w:rsidR="007D5F14" w:rsidRDefault="007D5F14" w:rsidP="007D5F14">
            <w:pPr>
              <w:jc w:val="center"/>
              <w:rPr>
                <w:rFonts w:ascii="Helv" w:hAnsi="Helv"/>
                <w:snapToGrid w:val="0"/>
                <w:color w:val="000000"/>
                <w:sz w:val="21"/>
              </w:rPr>
            </w:pPr>
            <w:r>
              <w:rPr>
                <w:rFonts w:ascii="Helv" w:hAnsi="Helv"/>
                <w:snapToGrid w:val="0"/>
                <w:color w:val="000000"/>
                <w:sz w:val="21"/>
              </w:rPr>
              <w:t>DATE</w:t>
            </w:r>
          </w:p>
        </w:tc>
      </w:tr>
      <w:tr w:rsidR="00720E5A" w14:paraId="13BA2D08" w14:textId="77777777" w:rsidTr="0AB179E6">
        <w:trPr>
          <w:trHeight w:val="268"/>
        </w:trPr>
        <w:tc>
          <w:tcPr>
            <w:tcW w:w="565" w:type="dxa"/>
            <w:tcBorders>
              <w:top w:val="single" w:sz="4" w:space="0" w:color="auto"/>
              <w:left w:val="single" w:sz="6" w:space="0" w:color="auto"/>
            </w:tcBorders>
          </w:tcPr>
          <w:p w14:paraId="793189F5" w14:textId="77777777" w:rsidR="00720E5A" w:rsidRDefault="00720E5A" w:rsidP="000119BA">
            <w:pPr>
              <w:rPr>
                <w:rFonts w:ascii="Helv" w:hAnsi="Helv"/>
                <w:snapToGrid w:val="0"/>
                <w:color w:val="000000"/>
                <w:sz w:val="21"/>
              </w:rPr>
            </w:pPr>
            <w:r>
              <w:rPr>
                <w:rFonts w:ascii="Helv" w:hAnsi="Helv"/>
                <w:snapToGrid w:val="0"/>
                <w:color w:val="000000"/>
                <w:sz w:val="21"/>
              </w:rPr>
              <w:t>I.</w:t>
            </w:r>
          </w:p>
        </w:tc>
        <w:tc>
          <w:tcPr>
            <w:tcW w:w="7825" w:type="dxa"/>
            <w:gridSpan w:val="5"/>
            <w:tcBorders>
              <w:top w:val="single" w:sz="4" w:space="0" w:color="auto"/>
            </w:tcBorders>
          </w:tcPr>
          <w:p w14:paraId="7C867DDA" w14:textId="77777777" w:rsidR="00720E5A" w:rsidRDefault="00720E5A" w:rsidP="000119BA">
            <w:pPr>
              <w:rPr>
                <w:rFonts w:ascii="Helv" w:hAnsi="Helv"/>
                <w:snapToGrid w:val="0"/>
                <w:color w:val="000000"/>
                <w:sz w:val="21"/>
              </w:rPr>
            </w:pPr>
            <w:r>
              <w:rPr>
                <w:rFonts w:ascii="Helv" w:hAnsi="Helv"/>
                <w:snapToGrid w:val="0"/>
                <w:color w:val="000000"/>
                <w:sz w:val="21"/>
              </w:rPr>
              <w:t>BUDGET REPORTING BASIS CLOSING ACTIVITIES</w:t>
            </w:r>
          </w:p>
        </w:tc>
        <w:tc>
          <w:tcPr>
            <w:tcW w:w="1486" w:type="dxa"/>
            <w:gridSpan w:val="2"/>
            <w:tcBorders>
              <w:top w:val="single" w:sz="4" w:space="0" w:color="auto"/>
              <w:left w:val="single" w:sz="6" w:space="0" w:color="auto"/>
              <w:right w:val="single" w:sz="6" w:space="0" w:color="auto"/>
            </w:tcBorders>
          </w:tcPr>
          <w:p w14:paraId="4E970C28" w14:textId="77777777" w:rsidR="00720E5A" w:rsidRPr="00C7479F" w:rsidRDefault="00720E5A" w:rsidP="000119BA">
            <w:pPr>
              <w:jc w:val="center"/>
              <w:rPr>
                <w:rFonts w:ascii="Helv" w:hAnsi="Helv"/>
                <w:snapToGrid w:val="0"/>
                <w:color w:val="FF0000"/>
                <w:sz w:val="16"/>
                <w:szCs w:val="16"/>
              </w:rPr>
            </w:pPr>
          </w:p>
        </w:tc>
      </w:tr>
      <w:tr w:rsidR="00720E5A" w14:paraId="326AE2AC" w14:textId="77777777" w:rsidTr="0AB179E6">
        <w:trPr>
          <w:trHeight w:val="268"/>
        </w:trPr>
        <w:tc>
          <w:tcPr>
            <w:tcW w:w="565" w:type="dxa"/>
            <w:tcBorders>
              <w:left w:val="single" w:sz="6" w:space="0" w:color="auto"/>
            </w:tcBorders>
          </w:tcPr>
          <w:p w14:paraId="685E3EDB" w14:textId="77777777" w:rsidR="00720E5A" w:rsidRDefault="00720E5A" w:rsidP="000119BA">
            <w:pPr>
              <w:jc w:val="right"/>
              <w:rPr>
                <w:rFonts w:ascii="Helv" w:hAnsi="Helv"/>
                <w:snapToGrid w:val="0"/>
                <w:color w:val="000000"/>
                <w:sz w:val="21"/>
              </w:rPr>
            </w:pPr>
          </w:p>
        </w:tc>
        <w:tc>
          <w:tcPr>
            <w:tcW w:w="199" w:type="dxa"/>
          </w:tcPr>
          <w:p w14:paraId="029E452F" w14:textId="77777777" w:rsidR="00720E5A" w:rsidRDefault="00720E5A" w:rsidP="000119BA">
            <w:pPr>
              <w:jc w:val="right"/>
              <w:rPr>
                <w:rFonts w:ascii="Helv" w:hAnsi="Helv"/>
                <w:snapToGrid w:val="0"/>
                <w:color w:val="000000"/>
                <w:sz w:val="21"/>
              </w:rPr>
            </w:pPr>
          </w:p>
        </w:tc>
        <w:tc>
          <w:tcPr>
            <w:tcW w:w="331" w:type="dxa"/>
          </w:tcPr>
          <w:p w14:paraId="0CD0C597" w14:textId="77777777" w:rsidR="00720E5A" w:rsidRDefault="00720E5A" w:rsidP="000119BA">
            <w:pPr>
              <w:rPr>
                <w:rFonts w:ascii="Helv" w:hAnsi="Helv"/>
                <w:snapToGrid w:val="0"/>
                <w:color w:val="000000"/>
                <w:sz w:val="21"/>
              </w:rPr>
            </w:pPr>
            <w:r>
              <w:rPr>
                <w:rFonts w:ascii="Helv" w:hAnsi="Helv"/>
                <w:snapToGrid w:val="0"/>
                <w:color w:val="000000"/>
                <w:sz w:val="21"/>
              </w:rPr>
              <w:t>-</w:t>
            </w:r>
          </w:p>
        </w:tc>
        <w:tc>
          <w:tcPr>
            <w:tcW w:w="7295" w:type="dxa"/>
            <w:gridSpan w:val="3"/>
          </w:tcPr>
          <w:p w14:paraId="4038D719" w14:textId="77777777" w:rsidR="00720E5A" w:rsidRPr="003203D8" w:rsidRDefault="00720E5A" w:rsidP="000119BA">
            <w:pPr>
              <w:rPr>
                <w:rFonts w:ascii="Helv" w:hAnsi="Helv"/>
                <w:snapToGrid w:val="0"/>
                <w:color w:val="000000"/>
                <w:sz w:val="16"/>
                <w:szCs w:val="16"/>
              </w:rPr>
            </w:pPr>
            <w:r>
              <w:rPr>
                <w:rFonts w:ascii="Helv" w:hAnsi="Helv"/>
                <w:snapToGrid w:val="0"/>
                <w:color w:val="000000"/>
                <w:sz w:val="21"/>
              </w:rPr>
              <w:t xml:space="preserve">Capital Projects Closing Reports (June BD 725) </w:t>
            </w:r>
          </w:p>
        </w:tc>
        <w:tc>
          <w:tcPr>
            <w:tcW w:w="1486" w:type="dxa"/>
            <w:gridSpan w:val="2"/>
            <w:tcBorders>
              <w:left w:val="single" w:sz="6" w:space="0" w:color="auto"/>
              <w:right w:val="single" w:sz="6" w:space="0" w:color="auto"/>
            </w:tcBorders>
          </w:tcPr>
          <w:p w14:paraId="5FA0AF1D" w14:textId="77777777" w:rsidR="00720E5A" w:rsidRPr="008C002E" w:rsidRDefault="005808F4" w:rsidP="005808F4">
            <w:pPr>
              <w:jc w:val="center"/>
              <w:rPr>
                <w:rFonts w:ascii="Helv" w:hAnsi="Helv"/>
                <w:snapToGrid w:val="0"/>
                <w:color w:val="000000"/>
              </w:rPr>
            </w:pPr>
            <w:r>
              <w:rPr>
                <w:rFonts w:ascii="Helv" w:hAnsi="Helv"/>
                <w:snapToGrid w:val="0"/>
                <w:color w:val="000000"/>
              </w:rPr>
              <w:t>Refer to</w:t>
            </w:r>
          </w:p>
        </w:tc>
      </w:tr>
      <w:tr w:rsidR="00720E5A" w14:paraId="60358AC1" w14:textId="77777777" w:rsidTr="0AB179E6">
        <w:trPr>
          <w:trHeight w:val="268"/>
        </w:trPr>
        <w:tc>
          <w:tcPr>
            <w:tcW w:w="565" w:type="dxa"/>
            <w:tcBorders>
              <w:left w:val="single" w:sz="6" w:space="0" w:color="auto"/>
            </w:tcBorders>
          </w:tcPr>
          <w:p w14:paraId="4986B2FB" w14:textId="77777777" w:rsidR="00720E5A" w:rsidRDefault="00720E5A" w:rsidP="000119BA">
            <w:pPr>
              <w:jc w:val="right"/>
              <w:rPr>
                <w:rFonts w:ascii="Helv" w:hAnsi="Helv"/>
                <w:snapToGrid w:val="0"/>
                <w:color w:val="000000"/>
                <w:sz w:val="21"/>
              </w:rPr>
            </w:pPr>
            <w:r>
              <w:rPr>
                <w:rFonts w:ascii="Helv" w:hAnsi="Helv"/>
                <w:snapToGrid w:val="0"/>
                <w:color w:val="000000"/>
                <w:sz w:val="21"/>
              </w:rPr>
              <w:t xml:space="preserve"> </w:t>
            </w:r>
          </w:p>
        </w:tc>
        <w:tc>
          <w:tcPr>
            <w:tcW w:w="199" w:type="dxa"/>
          </w:tcPr>
          <w:p w14:paraId="4F8D207F" w14:textId="77777777" w:rsidR="00720E5A" w:rsidRDefault="00720E5A" w:rsidP="000119BA">
            <w:pPr>
              <w:jc w:val="right"/>
              <w:rPr>
                <w:rFonts w:ascii="Helv" w:hAnsi="Helv"/>
                <w:snapToGrid w:val="0"/>
                <w:color w:val="000000"/>
                <w:sz w:val="21"/>
              </w:rPr>
            </w:pPr>
          </w:p>
        </w:tc>
        <w:tc>
          <w:tcPr>
            <w:tcW w:w="331" w:type="dxa"/>
          </w:tcPr>
          <w:p w14:paraId="742495C1" w14:textId="77777777" w:rsidR="00720E5A" w:rsidRDefault="00720E5A" w:rsidP="000119BA">
            <w:pPr>
              <w:rPr>
                <w:rFonts w:ascii="Helv" w:hAnsi="Helv"/>
                <w:snapToGrid w:val="0"/>
                <w:color w:val="000000"/>
                <w:sz w:val="21"/>
              </w:rPr>
            </w:pPr>
            <w:r>
              <w:rPr>
                <w:rFonts w:ascii="Helv" w:hAnsi="Helv"/>
                <w:snapToGrid w:val="0"/>
                <w:color w:val="000000"/>
                <w:sz w:val="21"/>
              </w:rPr>
              <w:t>-</w:t>
            </w:r>
          </w:p>
        </w:tc>
        <w:tc>
          <w:tcPr>
            <w:tcW w:w="7295" w:type="dxa"/>
            <w:gridSpan w:val="3"/>
          </w:tcPr>
          <w:p w14:paraId="3A92035A" w14:textId="77777777" w:rsidR="00720E5A" w:rsidRDefault="00720E5A" w:rsidP="000119BA">
            <w:pPr>
              <w:rPr>
                <w:rFonts w:ascii="Helv" w:hAnsi="Helv"/>
                <w:snapToGrid w:val="0"/>
                <w:color w:val="000000"/>
                <w:sz w:val="21"/>
              </w:rPr>
            </w:pPr>
            <w:r>
              <w:rPr>
                <w:rFonts w:ascii="Helv" w:hAnsi="Helv"/>
                <w:snapToGrid w:val="0"/>
                <w:color w:val="000000"/>
                <w:sz w:val="21"/>
              </w:rPr>
              <w:t xml:space="preserve">Operating Code(s) Closing Reports (June BD 701) </w:t>
            </w:r>
          </w:p>
        </w:tc>
        <w:tc>
          <w:tcPr>
            <w:tcW w:w="1486" w:type="dxa"/>
            <w:gridSpan w:val="2"/>
            <w:tcBorders>
              <w:left w:val="single" w:sz="6" w:space="0" w:color="auto"/>
              <w:right w:val="single" w:sz="6" w:space="0" w:color="auto"/>
            </w:tcBorders>
          </w:tcPr>
          <w:p w14:paraId="0E975F73" w14:textId="77777777" w:rsidR="00720E5A" w:rsidRDefault="005808F4" w:rsidP="000119BA">
            <w:pPr>
              <w:jc w:val="center"/>
              <w:rPr>
                <w:rFonts w:ascii="Helv" w:hAnsi="Helv"/>
                <w:snapToGrid w:val="0"/>
                <w:color w:val="000000"/>
                <w:sz w:val="21"/>
              </w:rPr>
            </w:pPr>
            <w:r>
              <w:rPr>
                <w:rFonts w:ascii="Helv" w:hAnsi="Helv"/>
                <w:snapToGrid w:val="0"/>
                <w:color w:val="000000"/>
                <w:sz w:val="21"/>
              </w:rPr>
              <w:t>Cash Close-out Memo</w:t>
            </w:r>
          </w:p>
        </w:tc>
      </w:tr>
      <w:tr w:rsidR="00720E5A" w14:paraId="2A395FC6" w14:textId="77777777" w:rsidTr="0AB179E6">
        <w:trPr>
          <w:trHeight w:val="268"/>
        </w:trPr>
        <w:tc>
          <w:tcPr>
            <w:tcW w:w="565" w:type="dxa"/>
            <w:tcBorders>
              <w:left w:val="single" w:sz="6" w:space="0" w:color="auto"/>
              <w:bottom w:val="single" w:sz="6" w:space="0" w:color="auto"/>
            </w:tcBorders>
          </w:tcPr>
          <w:p w14:paraId="0118EF00" w14:textId="77777777" w:rsidR="00720E5A" w:rsidRDefault="00720E5A" w:rsidP="000119BA">
            <w:pPr>
              <w:jc w:val="right"/>
              <w:rPr>
                <w:rFonts w:ascii="Helv" w:hAnsi="Helv"/>
                <w:snapToGrid w:val="0"/>
                <w:color w:val="000000"/>
                <w:sz w:val="21"/>
              </w:rPr>
            </w:pPr>
          </w:p>
        </w:tc>
        <w:tc>
          <w:tcPr>
            <w:tcW w:w="199" w:type="dxa"/>
            <w:tcBorders>
              <w:bottom w:val="single" w:sz="6" w:space="0" w:color="auto"/>
            </w:tcBorders>
          </w:tcPr>
          <w:p w14:paraId="34958128" w14:textId="77777777" w:rsidR="00720E5A" w:rsidRDefault="00720E5A" w:rsidP="000119BA">
            <w:pPr>
              <w:jc w:val="right"/>
              <w:rPr>
                <w:rFonts w:ascii="Helv" w:hAnsi="Helv"/>
                <w:snapToGrid w:val="0"/>
                <w:color w:val="000000"/>
                <w:sz w:val="21"/>
              </w:rPr>
            </w:pPr>
          </w:p>
        </w:tc>
        <w:tc>
          <w:tcPr>
            <w:tcW w:w="331" w:type="dxa"/>
            <w:tcBorders>
              <w:bottom w:val="single" w:sz="6" w:space="0" w:color="auto"/>
            </w:tcBorders>
          </w:tcPr>
          <w:p w14:paraId="6688B12C" w14:textId="77777777" w:rsidR="00720E5A" w:rsidRDefault="00720E5A" w:rsidP="000119BA">
            <w:pPr>
              <w:jc w:val="right"/>
              <w:rPr>
                <w:rFonts w:ascii="Helv" w:hAnsi="Helv"/>
                <w:snapToGrid w:val="0"/>
                <w:color w:val="000000"/>
                <w:sz w:val="21"/>
              </w:rPr>
            </w:pPr>
          </w:p>
        </w:tc>
        <w:tc>
          <w:tcPr>
            <w:tcW w:w="453" w:type="dxa"/>
            <w:tcBorders>
              <w:bottom w:val="single" w:sz="6" w:space="0" w:color="auto"/>
            </w:tcBorders>
          </w:tcPr>
          <w:p w14:paraId="2501E1EE" w14:textId="77777777" w:rsidR="00720E5A" w:rsidRDefault="00720E5A" w:rsidP="000119BA">
            <w:pPr>
              <w:jc w:val="right"/>
              <w:rPr>
                <w:rFonts w:ascii="Helv" w:hAnsi="Helv"/>
                <w:snapToGrid w:val="0"/>
                <w:color w:val="000000"/>
                <w:sz w:val="21"/>
              </w:rPr>
            </w:pPr>
          </w:p>
        </w:tc>
        <w:tc>
          <w:tcPr>
            <w:tcW w:w="6842" w:type="dxa"/>
            <w:gridSpan w:val="2"/>
            <w:tcBorders>
              <w:bottom w:val="single" w:sz="6" w:space="0" w:color="auto"/>
            </w:tcBorders>
          </w:tcPr>
          <w:p w14:paraId="544529B2" w14:textId="77777777" w:rsidR="00720E5A" w:rsidRDefault="00720E5A" w:rsidP="000119BA">
            <w:pPr>
              <w:jc w:val="right"/>
              <w:rPr>
                <w:rFonts w:ascii="Helv" w:hAnsi="Helv"/>
                <w:snapToGrid w:val="0"/>
                <w:color w:val="000000"/>
                <w:sz w:val="21"/>
              </w:rPr>
            </w:pPr>
          </w:p>
        </w:tc>
        <w:tc>
          <w:tcPr>
            <w:tcW w:w="1486" w:type="dxa"/>
            <w:gridSpan w:val="2"/>
            <w:tcBorders>
              <w:left w:val="single" w:sz="6" w:space="0" w:color="auto"/>
              <w:bottom w:val="single" w:sz="6" w:space="0" w:color="auto"/>
              <w:right w:val="single" w:sz="6" w:space="0" w:color="auto"/>
            </w:tcBorders>
          </w:tcPr>
          <w:p w14:paraId="7C5D8161" w14:textId="77777777" w:rsidR="00720E5A" w:rsidRDefault="00720E5A" w:rsidP="000119BA">
            <w:pPr>
              <w:jc w:val="center"/>
              <w:rPr>
                <w:rFonts w:ascii="Helv" w:hAnsi="Helv"/>
                <w:snapToGrid w:val="0"/>
                <w:color w:val="000000"/>
                <w:sz w:val="21"/>
              </w:rPr>
            </w:pPr>
          </w:p>
        </w:tc>
      </w:tr>
      <w:tr w:rsidR="00720E5A" w14:paraId="2047585A" w14:textId="77777777" w:rsidTr="0AB179E6">
        <w:trPr>
          <w:trHeight w:val="268"/>
        </w:trPr>
        <w:tc>
          <w:tcPr>
            <w:tcW w:w="565" w:type="dxa"/>
            <w:tcBorders>
              <w:left w:val="single" w:sz="6" w:space="0" w:color="auto"/>
            </w:tcBorders>
          </w:tcPr>
          <w:p w14:paraId="761BFA61" w14:textId="77777777" w:rsidR="00720E5A" w:rsidRDefault="00720E5A" w:rsidP="000119BA">
            <w:pPr>
              <w:jc w:val="right"/>
              <w:rPr>
                <w:rFonts w:ascii="Helv" w:hAnsi="Helv"/>
                <w:snapToGrid w:val="0"/>
                <w:color w:val="000000"/>
                <w:sz w:val="21"/>
              </w:rPr>
            </w:pPr>
          </w:p>
        </w:tc>
        <w:tc>
          <w:tcPr>
            <w:tcW w:w="199" w:type="dxa"/>
          </w:tcPr>
          <w:p w14:paraId="2A615812" w14:textId="77777777" w:rsidR="00720E5A" w:rsidRDefault="00720E5A" w:rsidP="000119BA">
            <w:pPr>
              <w:jc w:val="right"/>
              <w:rPr>
                <w:rFonts w:ascii="Helv" w:hAnsi="Helv"/>
                <w:snapToGrid w:val="0"/>
                <w:color w:val="000000"/>
                <w:sz w:val="21"/>
              </w:rPr>
            </w:pPr>
          </w:p>
        </w:tc>
        <w:tc>
          <w:tcPr>
            <w:tcW w:w="331" w:type="dxa"/>
          </w:tcPr>
          <w:p w14:paraId="737C75B0" w14:textId="77777777" w:rsidR="00720E5A" w:rsidRDefault="00720E5A" w:rsidP="000119BA">
            <w:pPr>
              <w:jc w:val="right"/>
              <w:rPr>
                <w:rFonts w:ascii="Helv" w:hAnsi="Helv"/>
                <w:snapToGrid w:val="0"/>
                <w:color w:val="000000"/>
                <w:sz w:val="21"/>
              </w:rPr>
            </w:pPr>
          </w:p>
        </w:tc>
        <w:tc>
          <w:tcPr>
            <w:tcW w:w="453" w:type="dxa"/>
          </w:tcPr>
          <w:p w14:paraId="08BBE843" w14:textId="77777777" w:rsidR="00720E5A" w:rsidRDefault="00720E5A" w:rsidP="000119BA">
            <w:pPr>
              <w:jc w:val="right"/>
              <w:rPr>
                <w:rFonts w:ascii="Helv" w:hAnsi="Helv"/>
                <w:snapToGrid w:val="0"/>
                <w:color w:val="000000"/>
                <w:sz w:val="21"/>
              </w:rPr>
            </w:pPr>
          </w:p>
        </w:tc>
        <w:tc>
          <w:tcPr>
            <w:tcW w:w="6842" w:type="dxa"/>
            <w:gridSpan w:val="2"/>
          </w:tcPr>
          <w:p w14:paraId="2BCA079E" w14:textId="77777777" w:rsidR="00720E5A" w:rsidRDefault="00720E5A" w:rsidP="000119BA">
            <w:pPr>
              <w:jc w:val="right"/>
              <w:rPr>
                <w:rFonts w:ascii="Helv" w:hAnsi="Helv"/>
                <w:snapToGrid w:val="0"/>
                <w:color w:val="000000"/>
                <w:sz w:val="21"/>
              </w:rPr>
            </w:pPr>
          </w:p>
        </w:tc>
        <w:tc>
          <w:tcPr>
            <w:tcW w:w="1486" w:type="dxa"/>
            <w:gridSpan w:val="2"/>
            <w:tcBorders>
              <w:left w:val="single" w:sz="6" w:space="0" w:color="auto"/>
              <w:right w:val="single" w:sz="6" w:space="0" w:color="auto"/>
            </w:tcBorders>
          </w:tcPr>
          <w:p w14:paraId="0092F17F" w14:textId="77777777" w:rsidR="00720E5A" w:rsidRDefault="00720E5A" w:rsidP="000119BA">
            <w:pPr>
              <w:jc w:val="center"/>
              <w:rPr>
                <w:rFonts w:ascii="Helv" w:hAnsi="Helv"/>
                <w:snapToGrid w:val="0"/>
                <w:color w:val="000000"/>
                <w:sz w:val="21"/>
              </w:rPr>
            </w:pPr>
          </w:p>
        </w:tc>
      </w:tr>
      <w:tr w:rsidR="00720E5A" w14:paraId="13F229AC" w14:textId="77777777" w:rsidTr="0AB179E6">
        <w:trPr>
          <w:trHeight w:val="268"/>
        </w:trPr>
        <w:tc>
          <w:tcPr>
            <w:tcW w:w="565" w:type="dxa"/>
            <w:tcBorders>
              <w:left w:val="single" w:sz="6" w:space="0" w:color="auto"/>
            </w:tcBorders>
          </w:tcPr>
          <w:p w14:paraId="6C15258C" w14:textId="77777777" w:rsidR="00720E5A" w:rsidRPr="00453525" w:rsidRDefault="00720E5A" w:rsidP="000119BA">
            <w:pPr>
              <w:rPr>
                <w:rFonts w:ascii="Helv" w:hAnsi="Helv"/>
                <w:snapToGrid w:val="0"/>
                <w:color w:val="000000"/>
                <w:sz w:val="21"/>
                <w:szCs w:val="21"/>
              </w:rPr>
            </w:pPr>
            <w:r w:rsidRPr="00453525">
              <w:rPr>
                <w:rFonts w:ascii="Helv" w:hAnsi="Helv"/>
                <w:snapToGrid w:val="0"/>
                <w:color w:val="000000"/>
                <w:sz w:val="21"/>
                <w:szCs w:val="21"/>
              </w:rPr>
              <w:t>II.</w:t>
            </w:r>
          </w:p>
        </w:tc>
        <w:tc>
          <w:tcPr>
            <w:tcW w:w="7825" w:type="dxa"/>
            <w:gridSpan w:val="5"/>
          </w:tcPr>
          <w:p w14:paraId="757322A0" w14:textId="030BB0A6" w:rsidR="0034136E" w:rsidRPr="00453525" w:rsidRDefault="000923F7" w:rsidP="00262894">
            <w:pPr>
              <w:rPr>
                <w:rFonts w:ascii="Helv" w:hAnsi="Helv"/>
                <w:b/>
                <w:bCs/>
                <w:snapToGrid w:val="0"/>
                <w:color w:val="FF0000"/>
                <w:sz w:val="21"/>
                <w:szCs w:val="21"/>
              </w:rPr>
            </w:pPr>
            <w:r w:rsidRPr="00453525">
              <w:rPr>
                <w:rFonts w:ascii="Helv" w:hAnsi="Helv"/>
                <w:b/>
                <w:bCs/>
                <w:snapToGrid w:val="0"/>
                <w:color w:val="FF0000"/>
                <w:sz w:val="21"/>
                <w:szCs w:val="21"/>
              </w:rPr>
              <w:t xml:space="preserve">YEAR-END ACTIVITIES AND ACCRUAL </w:t>
            </w:r>
            <w:r w:rsidR="00483C83" w:rsidRPr="00453525">
              <w:rPr>
                <w:rFonts w:ascii="Helv" w:hAnsi="Helv"/>
                <w:b/>
                <w:bCs/>
                <w:snapToGrid w:val="0"/>
                <w:color w:val="FF0000"/>
                <w:sz w:val="21"/>
                <w:szCs w:val="21"/>
              </w:rPr>
              <w:t>GUIDELINES</w:t>
            </w:r>
            <w:r w:rsidRPr="00453525">
              <w:rPr>
                <w:rFonts w:ascii="Helv" w:hAnsi="Helv"/>
                <w:b/>
                <w:bCs/>
                <w:snapToGrid w:val="0"/>
                <w:color w:val="FF0000"/>
                <w:sz w:val="21"/>
                <w:szCs w:val="21"/>
              </w:rPr>
              <w:t xml:space="preserve"> </w:t>
            </w:r>
          </w:p>
          <w:p w14:paraId="16E725FE" w14:textId="77777777" w:rsidR="0034136E" w:rsidRPr="00453525" w:rsidRDefault="0034136E" w:rsidP="00262894">
            <w:pPr>
              <w:rPr>
                <w:rFonts w:ascii="Helv" w:hAnsi="Helv"/>
                <w:b/>
                <w:bCs/>
                <w:snapToGrid w:val="0"/>
                <w:color w:val="FF0000"/>
                <w:sz w:val="21"/>
                <w:szCs w:val="21"/>
              </w:rPr>
            </w:pPr>
          </w:p>
          <w:p w14:paraId="14065583" w14:textId="63DA0F3F" w:rsidR="00720E5A" w:rsidRPr="00453525" w:rsidRDefault="009A5E8E" w:rsidP="00262894">
            <w:pPr>
              <w:rPr>
                <w:rFonts w:ascii="Helv" w:hAnsi="Helv"/>
                <w:b/>
                <w:snapToGrid w:val="0"/>
                <w:color w:val="7030A0"/>
                <w:sz w:val="21"/>
                <w:szCs w:val="21"/>
              </w:rPr>
            </w:pPr>
            <w:r w:rsidRPr="00453525">
              <w:rPr>
                <w:rFonts w:ascii="Helv" w:hAnsi="Helv"/>
                <w:b/>
                <w:bCs/>
                <w:snapToGrid w:val="0"/>
                <w:color w:val="FF0000"/>
                <w:sz w:val="21"/>
                <w:szCs w:val="21"/>
              </w:rPr>
              <w:t xml:space="preserve">Note: the NCFS </w:t>
            </w:r>
            <w:r w:rsidR="008A25DF" w:rsidRPr="00453525">
              <w:rPr>
                <w:rFonts w:ascii="Helv" w:hAnsi="Helv"/>
                <w:b/>
                <w:bCs/>
                <w:snapToGrid w:val="0"/>
                <w:color w:val="FF0000"/>
                <w:sz w:val="21"/>
                <w:szCs w:val="21"/>
              </w:rPr>
              <w:t xml:space="preserve">flagged </w:t>
            </w:r>
            <w:r w:rsidRPr="00453525">
              <w:rPr>
                <w:rFonts w:ascii="Helv" w:hAnsi="Helv"/>
                <w:b/>
                <w:bCs/>
                <w:snapToGrid w:val="0"/>
                <w:color w:val="FF0000"/>
                <w:sz w:val="21"/>
                <w:szCs w:val="21"/>
              </w:rPr>
              <w:t>accrual process is still under review</w:t>
            </w:r>
            <w:r w:rsidR="00027BE9" w:rsidRPr="00453525">
              <w:rPr>
                <w:rFonts w:ascii="Helv" w:hAnsi="Helv"/>
                <w:b/>
                <w:bCs/>
                <w:snapToGrid w:val="0"/>
                <w:color w:val="FF0000"/>
                <w:sz w:val="21"/>
                <w:szCs w:val="21"/>
              </w:rPr>
              <w:t xml:space="preserve">.  Additional </w:t>
            </w:r>
            <w:r w:rsidR="00057219" w:rsidRPr="00453525">
              <w:rPr>
                <w:rFonts w:ascii="Helv" w:hAnsi="Helv"/>
                <w:b/>
                <w:bCs/>
                <w:snapToGrid w:val="0"/>
                <w:color w:val="FF0000"/>
                <w:sz w:val="21"/>
                <w:szCs w:val="21"/>
              </w:rPr>
              <w:t>details and</w:t>
            </w:r>
            <w:r w:rsidR="00483C83" w:rsidRPr="00453525">
              <w:rPr>
                <w:rFonts w:ascii="Helv" w:hAnsi="Helv"/>
                <w:b/>
                <w:bCs/>
                <w:snapToGrid w:val="0"/>
                <w:color w:val="FF0000"/>
                <w:sz w:val="21"/>
                <w:szCs w:val="21"/>
              </w:rPr>
              <w:t xml:space="preserve"> the</w:t>
            </w:r>
            <w:r w:rsidR="00057219" w:rsidRPr="00453525">
              <w:rPr>
                <w:rFonts w:ascii="Helv" w:hAnsi="Helv"/>
                <w:b/>
                <w:bCs/>
                <w:snapToGrid w:val="0"/>
                <w:color w:val="FF0000"/>
                <w:sz w:val="21"/>
                <w:szCs w:val="21"/>
              </w:rPr>
              <w:t xml:space="preserve"> complete process</w:t>
            </w:r>
            <w:r w:rsidR="00027BE9" w:rsidRPr="00453525">
              <w:rPr>
                <w:rFonts w:ascii="Helv" w:hAnsi="Helv"/>
                <w:b/>
                <w:bCs/>
                <w:snapToGrid w:val="0"/>
                <w:color w:val="FF0000"/>
                <w:sz w:val="21"/>
                <w:szCs w:val="21"/>
              </w:rPr>
              <w:t xml:space="preserve"> will be made available soon.  Accruals will need to be posted</w:t>
            </w:r>
            <w:r w:rsidR="00057219" w:rsidRPr="00453525">
              <w:rPr>
                <w:rFonts w:ascii="Helv" w:hAnsi="Helv"/>
                <w:b/>
                <w:bCs/>
                <w:snapToGrid w:val="0"/>
                <w:color w:val="FF0000"/>
                <w:sz w:val="21"/>
                <w:szCs w:val="21"/>
              </w:rPr>
              <w:t xml:space="preserve"> </w:t>
            </w:r>
            <w:proofErr w:type="gramStart"/>
            <w:r w:rsidR="00057219" w:rsidRPr="00453525">
              <w:rPr>
                <w:rFonts w:ascii="Helv" w:hAnsi="Helv"/>
                <w:b/>
                <w:bCs/>
                <w:snapToGrid w:val="0"/>
                <w:color w:val="FF0000"/>
                <w:sz w:val="21"/>
                <w:szCs w:val="21"/>
              </w:rPr>
              <w:t>in</w:t>
            </w:r>
            <w:proofErr w:type="gramEnd"/>
            <w:r w:rsidR="00057219" w:rsidRPr="00453525">
              <w:rPr>
                <w:rFonts w:ascii="Helv" w:hAnsi="Helv"/>
                <w:b/>
                <w:bCs/>
                <w:snapToGrid w:val="0"/>
                <w:color w:val="FF0000"/>
                <w:sz w:val="21"/>
                <w:szCs w:val="21"/>
              </w:rPr>
              <w:t xml:space="preserve"> NCFS</w:t>
            </w:r>
            <w:r w:rsidR="00027BE9" w:rsidRPr="00453525">
              <w:rPr>
                <w:rFonts w:ascii="Helv" w:hAnsi="Helv"/>
                <w:b/>
                <w:bCs/>
                <w:snapToGrid w:val="0"/>
                <w:color w:val="FF0000"/>
                <w:sz w:val="21"/>
                <w:szCs w:val="21"/>
              </w:rPr>
              <w:t xml:space="preserve"> </w:t>
            </w:r>
            <w:r w:rsidR="00057219" w:rsidRPr="00453525">
              <w:rPr>
                <w:rFonts w:ascii="Helv" w:hAnsi="Helv"/>
                <w:b/>
                <w:bCs/>
                <w:snapToGrid w:val="0"/>
                <w:color w:val="FF0000"/>
                <w:sz w:val="21"/>
                <w:szCs w:val="21"/>
              </w:rPr>
              <w:t xml:space="preserve">by </w:t>
            </w:r>
            <w:r w:rsidR="001F2C53">
              <w:rPr>
                <w:rFonts w:ascii="Helv" w:hAnsi="Helv"/>
                <w:b/>
                <w:bCs/>
                <w:snapToGrid w:val="0"/>
                <w:color w:val="FF0000"/>
                <w:sz w:val="21"/>
                <w:szCs w:val="21"/>
              </w:rPr>
              <w:t>July 31</w:t>
            </w:r>
            <w:r w:rsidR="001F2C53" w:rsidRPr="00453525">
              <w:rPr>
                <w:rFonts w:ascii="Helv" w:hAnsi="Helv"/>
                <w:b/>
                <w:bCs/>
                <w:snapToGrid w:val="0"/>
                <w:color w:val="FF0000"/>
                <w:sz w:val="21"/>
                <w:szCs w:val="21"/>
                <w:vertAlign w:val="superscript"/>
              </w:rPr>
              <w:t>st</w:t>
            </w:r>
            <w:r w:rsidR="001F2C53">
              <w:rPr>
                <w:rFonts w:ascii="Helv" w:hAnsi="Helv"/>
                <w:b/>
                <w:bCs/>
                <w:snapToGrid w:val="0"/>
                <w:color w:val="FF0000"/>
                <w:sz w:val="21"/>
                <w:szCs w:val="21"/>
              </w:rPr>
              <w:t>.</w:t>
            </w:r>
          </w:p>
        </w:tc>
        <w:tc>
          <w:tcPr>
            <w:tcW w:w="1486" w:type="dxa"/>
            <w:gridSpan w:val="2"/>
            <w:tcBorders>
              <w:left w:val="single" w:sz="6" w:space="0" w:color="auto"/>
              <w:right w:val="single" w:sz="6" w:space="0" w:color="auto"/>
            </w:tcBorders>
          </w:tcPr>
          <w:p w14:paraId="4FAD433A" w14:textId="77777777" w:rsidR="00720E5A" w:rsidRDefault="00720E5A" w:rsidP="000119BA">
            <w:pPr>
              <w:jc w:val="center"/>
              <w:rPr>
                <w:rFonts w:ascii="Helv" w:hAnsi="Helv"/>
                <w:snapToGrid w:val="0"/>
                <w:color w:val="000000"/>
                <w:sz w:val="21"/>
              </w:rPr>
            </w:pPr>
          </w:p>
          <w:p w14:paraId="2289B902" w14:textId="77777777" w:rsidR="0034136E" w:rsidRDefault="0034136E" w:rsidP="000119BA">
            <w:pPr>
              <w:jc w:val="center"/>
              <w:rPr>
                <w:rFonts w:ascii="Helv" w:hAnsi="Helv"/>
                <w:snapToGrid w:val="0"/>
                <w:color w:val="000000"/>
                <w:sz w:val="21"/>
              </w:rPr>
            </w:pPr>
          </w:p>
          <w:p w14:paraId="2F419822" w14:textId="77777777" w:rsidR="0034136E" w:rsidRDefault="0034136E" w:rsidP="000119BA">
            <w:pPr>
              <w:jc w:val="center"/>
              <w:rPr>
                <w:rFonts w:ascii="Helv" w:hAnsi="Helv"/>
                <w:snapToGrid w:val="0"/>
                <w:color w:val="000000"/>
                <w:sz w:val="21"/>
              </w:rPr>
            </w:pPr>
          </w:p>
          <w:p w14:paraId="520B3B63" w14:textId="7150D4E9" w:rsidR="0034136E" w:rsidRPr="00453525" w:rsidRDefault="00E90799" w:rsidP="000119BA">
            <w:pPr>
              <w:jc w:val="center"/>
              <w:rPr>
                <w:rFonts w:ascii="Helv" w:hAnsi="Helv"/>
                <w:b/>
                <w:bCs/>
                <w:snapToGrid w:val="0"/>
                <w:color w:val="000000"/>
                <w:sz w:val="21"/>
              </w:rPr>
            </w:pPr>
            <w:r w:rsidRPr="00453525">
              <w:rPr>
                <w:rFonts w:ascii="Helv" w:hAnsi="Helv"/>
                <w:b/>
                <w:bCs/>
                <w:snapToGrid w:val="0"/>
                <w:sz w:val="21"/>
              </w:rPr>
              <w:t>7/31</w:t>
            </w:r>
          </w:p>
        </w:tc>
      </w:tr>
      <w:tr w:rsidR="00720E5A" w14:paraId="1D2F3828" w14:textId="77777777" w:rsidTr="0AB179E6">
        <w:trPr>
          <w:trHeight w:val="268"/>
        </w:trPr>
        <w:tc>
          <w:tcPr>
            <w:tcW w:w="565" w:type="dxa"/>
            <w:tcBorders>
              <w:left w:val="single" w:sz="6" w:space="0" w:color="auto"/>
            </w:tcBorders>
          </w:tcPr>
          <w:p w14:paraId="4C3563C1" w14:textId="77777777" w:rsidR="00720E5A" w:rsidRDefault="00720E5A" w:rsidP="000119BA">
            <w:pPr>
              <w:jc w:val="right"/>
              <w:rPr>
                <w:rFonts w:ascii="Helv" w:hAnsi="Helv"/>
                <w:snapToGrid w:val="0"/>
                <w:color w:val="000000"/>
                <w:sz w:val="21"/>
                <w:szCs w:val="21"/>
                <w:highlight w:val="yellow"/>
              </w:rPr>
            </w:pPr>
          </w:p>
        </w:tc>
        <w:tc>
          <w:tcPr>
            <w:tcW w:w="199" w:type="dxa"/>
          </w:tcPr>
          <w:p w14:paraId="3740CCC3" w14:textId="77777777" w:rsidR="00720E5A" w:rsidRDefault="00720E5A" w:rsidP="000119BA">
            <w:pPr>
              <w:jc w:val="right"/>
              <w:rPr>
                <w:rFonts w:ascii="Helv" w:hAnsi="Helv"/>
                <w:snapToGrid w:val="0"/>
                <w:color w:val="000000"/>
                <w:sz w:val="21"/>
                <w:szCs w:val="21"/>
                <w:highlight w:val="yellow"/>
              </w:rPr>
            </w:pPr>
          </w:p>
        </w:tc>
        <w:tc>
          <w:tcPr>
            <w:tcW w:w="331" w:type="dxa"/>
          </w:tcPr>
          <w:p w14:paraId="4BFC3306" w14:textId="77777777" w:rsidR="00720E5A" w:rsidRDefault="00720E5A" w:rsidP="000119BA">
            <w:pPr>
              <w:jc w:val="right"/>
              <w:rPr>
                <w:rFonts w:ascii="Helv" w:hAnsi="Helv"/>
                <w:snapToGrid w:val="0"/>
                <w:color w:val="000000"/>
                <w:sz w:val="21"/>
                <w:szCs w:val="21"/>
                <w:highlight w:val="yellow"/>
              </w:rPr>
            </w:pPr>
          </w:p>
        </w:tc>
        <w:tc>
          <w:tcPr>
            <w:tcW w:w="453" w:type="dxa"/>
          </w:tcPr>
          <w:p w14:paraId="253E5362" w14:textId="77777777" w:rsidR="00720E5A" w:rsidRDefault="00720E5A" w:rsidP="000119BA">
            <w:pPr>
              <w:jc w:val="right"/>
              <w:rPr>
                <w:rFonts w:ascii="Helv" w:hAnsi="Helv"/>
                <w:snapToGrid w:val="0"/>
                <w:color w:val="000000"/>
                <w:sz w:val="21"/>
                <w:szCs w:val="21"/>
                <w:highlight w:val="yellow"/>
              </w:rPr>
            </w:pPr>
          </w:p>
        </w:tc>
        <w:tc>
          <w:tcPr>
            <w:tcW w:w="6842" w:type="dxa"/>
            <w:gridSpan w:val="2"/>
          </w:tcPr>
          <w:p w14:paraId="6311A726" w14:textId="77777777" w:rsidR="00720E5A" w:rsidRDefault="00720E5A" w:rsidP="000119BA">
            <w:pPr>
              <w:jc w:val="right"/>
              <w:rPr>
                <w:rFonts w:ascii="Helv" w:hAnsi="Helv"/>
                <w:snapToGrid w:val="0"/>
                <w:color w:val="000000"/>
                <w:sz w:val="21"/>
                <w:szCs w:val="21"/>
                <w:highlight w:val="yellow"/>
              </w:rPr>
            </w:pPr>
          </w:p>
        </w:tc>
        <w:tc>
          <w:tcPr>
            <w:tcW w:w="1486" w:type="dxa"/>
            <w:gridSpan w:val="2"/>
            <w:tcBorders>
              <w:left w:val="single" w:sz="6" w:space="0" w:color="auto"/>
              <w:right w:val="single" w:sz="6" w:space="0" w:color="auto"/>
            </w:tcBorders>
          </w:tcPr>
          <w:p w14:paraId="374640C3" w14:textId="77777777" w:rsidR="00720E5A" w:rsidRDefault="00720E5A" w:rsidP="000119BA">
            <w:pPr>
              <w:jc w:val="center"/>
              <w:rPr>
                <w:rFonts w:ascii="Helv" w:hAnsi="Helv"/>
                <w:snapToGrid w:val="0"/>
                <w:color w:val="000000"/>
                <w:sz w:val="21"/>
              </w:rPr>
            </w:pPr>
          </w:p>
        </w:tc>
      </w:tr>
      <w:tr w:rsidR="00720E5A" w14:paraId="7A231EEC" w14:textId="77777777" w:rsidTr="0AB179E6">
        <w:trPr>
          <w:trHeight w:val="268"/>
        </w:trPr>
        <w:tc>
          <w:tcPr>
            <w:tcW w:w="565" w:type="dxa"/>
            <w:tcBorders>
              <w:left w:val="single" w:sz="6" w:space="0" w:color="auto"/>
            </w:tcBorders>
          </w:tcPr>
          <w:p w14:paraId="052C32DA" w14:textId="77777777" w:rsidR="00720E5A" w:rsidRDefault="00720E5A" w:rsidP="000119BA">
            <w:pPr>
              <w:jc w:val="right"/>
              <w:rPr>
                <w:rFonts w:ascii="Helv" w:hAnsi="Helv"/>
                <w:snapToGrid w:val="0"/>
                <w:color w:val="000000"/>
                <w:sz w:val="21"/>
                <w:szCs w:val="21"/>
                <w:highlight w:val="yellow"/>
              </w:rPr>
            </w:pPr>
          </w:p>
        </w:tc>
        <w:tc>
          <w:tcPr>
            <w:tcW w:w="199" w:type="dxa"/>
          </w:tcPr>
          <w:p w14:paraId="0BA7811B" w14:textId="77777777" w:rsidR="00720E5A" w:rsidRDefault="00720E5A" w:rsidP="000119BA">
            <w:pPr>
              <w:jc w:val="right"/>
              <w:rPr>
                <w:rFonts w:ascii="Helv" w:hAnsi="Helv"/>
                <w:snapToGrid w:val="0"/>
                <w:color w:val="000000"/>
                <w:sz w:val="21"/>
                <w:szCs w:val="21"/>
                <w:highlight w:val="yellow"/>
              </w:rPr>
            </w:pPr>
          </w:p>
        </w:tc>
        <w:tc>
          <w:tcPr>
            <w:tcW w:w="331" w:type="dxa"/>
          </w:tcPr>
          <w:p w14:paraId="3410AD38" w14:textId="3F87DACC" w:rsidR="00720E5A" w:rsidRDefault="00720E5A" w:rsidP="000119BA">
            <w:pPr>
              <w:rPr>
                <w:rFonts w:ascii="Helv" w:hAnsi="Helv"/>
                <w:snapToGrid w:val="0"/>
                <w:color w:val="000000"/>
                <w:sz w:val="21"/>
                <w:szCs w:val="21"/>
                <w:highlight w:val="yellow"/>
              </w:rPr>
            </w:pPr>
          </w:p>
        </w:tc>
        <w:tc>
          <w:tcPr>
            <w:tcW w:w="7295" w:type="dxa"/>
            <w:gridSpan w:val="3"/>
          </w:tcPr>
          <w:p w14:paraId="7ED210F6" w14:textId="0C76AC57" w:rsidR="00720E5A" w:rsidRPr="00F91DC3" w:rsidRDefault="00720E5A" w:rsidP="00992626">
            <w:pPr>
              <w:rPr>
                <w:rFonts w:ascii="Helv" w:hAnsi="Helv"/>
                <w:snapToGrid w:val="0"/>
                <w:color w:val="000000"/>
                <w:sz w:val="21"/>
                <w:szCs w:val="21"/>
                <w:highlight w:val="yellow"/>
              </w:rPr>
            </w:pPr>
          </w:p>
        </w:tc>
        <w:tc>
          <w:tcPr>
            <w:tcW w:w="1486" w:type="dxa"/>
            <w:gridSpan w:val="2"/>
            <w:tcBorders>
              <w:left w:val="single" w:sz="6" w:space="0" w:color="auto"/>
              <w:right w:val="single" w:sz="6" w:space="0" w:color="auto"/>
            </w:tcBorders>
          </w:tcPr>
          <w:p w14:paraId="5BE1A27B" w14:textId="7FA94BE9" w:rsidR="00720E5A" w:rsidRPr="00563EF0" w:rsidRDefault="00720E5A" w:rsidP="00422259">
            <w:pPr>
              <w:jc w:val="center"/>
              <w:rPr>
                <w:rFonts w:ascii="Helv" w:hAnsi="Helv"/>
                <w:b/>
                <w:snapToGrid w:val="0"/>
                <w:color w:val="FF0000"/>
                <w:sz w:val="21"/>
                <w:szCs w:val="21"/>
                <w:highlight w:val="yellow"/>
              </w:rPr>
            </w:pPr>
          </w:p>
        </w:tc>
      </w:tr>
      <w:tr w:rsidR="00720E5A" w14:paraId="4556F37C" w14:textId="77777777" w:rsidTr="0AB179E6">
        <w:trPr>
          <w:trHeight w:val="268"/>
        </w:trPr>
        <w:tc>
          <w:tcPr>
            <w:tcW w:w="565" w:type="dxa"/>
            <w:tcBorders>
              <w:left w:val="single" w:sz="6" w:space="0" w:color="auto"/>
            </w:tcBorders>
          </w:tcPr>
          <w:p w14:paraId="710A2F33" w14:textId="77777777" w:rsidR="00720E5A" w:rsidRDefault="00720E5A" w:rsidP="000119BA">
            <w:pPr>
              <w:jc w:val="right"/>
              <w:rPr>
                <w:rFonts w:ascii="Helv" w:hAnsi="Helv"/>
                <w:snapToGrid w:val="0"/>
                <w:color w:val="000000"/>
                <w:sz w:val="21"/>
              </w:rPr>
            </w:pPr>
          </w:p>
        </w:tc>
        <w:tc>
          <w:tcPr>
            <w:tcW w:w="199" w:type="dxa"/>
          </w:tcPr>
          <w:p w14:paraId="2EC1AFCA" w14:textId="743AEE3D" w:rsidR="00720E5A" w:rsidRDefault="00720E5A" w:rsidP="24D96BEE">
            <w:pPr>
              <w:spacing w:line="259" w:lineRule="auto"/>
              <w:jc w:val="right"/>
              <w:rPr>
                <w:rFonts w:ascii="Helv" w:hAnsi="Helv"/>
                <w:color w:val="000000" w:themeColor="text1"/>
                <w:sz w:val="21"/>
                <w:szCs w:val="21"/>
              </w:rPr>
            </w:pPr>
          </w:p>
        </w:tc>
        <w:tc>
          <w:tcPr>
            <w:tcW w:w="331" w:type="dxa"/>
          </w:tcPr>
          <w:p w14:paraId="5B4E1EA6" w14:textId="77777777" w:rsidR="00030EA6" w:rsidRPr="00030EA6" w:rsidRDefault="00030EA6" w:rsidP="00030EA6">
            <w:pPr>
              <w:pStyle w:val="ListParagraph"/>
              <w:numPr>
                <w:ilvl w:val="0"/>
                <w:numId w:val="35"/>
              </w:numPr>
              <w:rPr>
                <w:rFonts w:ascii="Helv" w:hAnsi="Helv"/>
                <w:snapToGrid w:val="0"/>
                <w:color w:val="000000"/>
                <w:sz w:val="21"/>
              </w:rPr>
            </w:pPr>
          </w:p>
        </w:tc>
        <w:tc>
          <w:tcPr>
            <w:tcW w:w="7295" w:type="dxa"/>
            <w:gridSpan w:val="3"/>
          </w:tcPr>
          <w:p w14:paraId="5EFAAE74" w14:textId="6C9AE1F2" w:rsidR="00030EA6" w:rsidRPr="002C1B77" w:rsidRDefault="00030EA6" w:rsidP="000119BA">
            <w:pPr>
              <w:rPr>
                <w:rFonts w:ascii="Helv" w:hAnsi="Helv"/>
                <w:snapToGrid w:val="0"/>
                <w:color w:val="000000"/>
                <w:sz w:val="21"/>
                <w:szCs w:val="21"/>
                <w:highlight w:val="yellow"/>
              </w:rPr>
            </w:pPr>
          </w:p>
          <w:p w14:paraId="6BFB9C0A" w14:textId="3B37F27F" w:rsidR="00720E5A" w:rsidRDefault="30272656" w:rsidP="000119BA">
            <w:pPr>
              <w:rPr>
                <w:rFonts w:ascii="Helv" w:hAnsi="Helv"/>
                <w:snapToGrid w:val="0"/>
                <w:color w:val="000000"/>
                <w:sz w:val="21"/>
                <w:szCs w:val="21"/>
              </w:rPr>
            </w:pPr>
            <w:r w:rsidRPr="00453525">
              <w:rPr>
                <w:rFonts w:ascii="Helv" w:hAnsi="Helv"/>
                <w:snapToGrid w:val="0"/>
                <w:color w:val="000000"/>
                <w:sz w:val="21"/>
                <w:szCs w:val="21"/>
              </w:rPr>
              <w:t xml:space="preserve">All </w:t>
            </w:r>
            <w:r w:rsidR="66DEEA8A" w:rsidRPr="00453525">
              <w:rPr>
                <w:rFonts w:ascii="Helv" w:hAnsi="Helv"/>
                <w:snapToGrid w:val="0"/>
                <w:color w:val="000000"/>
                <w:sz w:val="21"/>
                <w:szCs w:val="21"/>
              </w:rPr>
              <w:t xml:space="preserve">6/30 </w:t>
            </w:r>
            <w:r w:rsidRPr="00453525">
              <w:rPr>
                <w:rFonts w:ascii="Helv" w:hAnsi="Helv"/>
                <w:snapToGrid w:val="0"/>
                <w:color w:val="000000"/>
                <w:sz w:val="21"/>
                <w:szCs w:val="21"/>
              </w:rPr>
              <w:t xml:space="preserve">transfer related entries for accounts 48XXX and 58XXX must be complete by </w:t>
            </w:r>
            <w:r w:rsidRPr="00453525">
              <w:rPr>
                <w:rFonts w:ascii="Helv" w:hAnsi="Helv"/>
                <w:b/>
                <w:snapToGrid w:val="0"/>
                <w:color w:val="000000"/>
                <w:sz w:val="21"/>
                <w:szCs w:val="21"/>
              </w:rPr>
              <w:t>8/</w:t>
            </w:r>
            <w:r w:rsidR="10040D7B" w:rsidRPr="00453525">
              <w:rPr>
                <w:rFonts w:ascii="Helv" w:hAnsi="Helv"/>
                <w:b/>
                <w:snapToGrid w:val="0"/>
                <w:color w:val="000000"/>
                <w:sz w:val="21"/>
                <w:szCs w:val="21"/>
              </w:rPr>
              <w:t>1</w:t>
            </w:r>
            <w:r w:rsidR="1F24F4CE" w:rsidRPr="00453525">
              <w:rPr>
                <w:rFonts w:ascii="Helv" w:hAnsi="Helv"/>
                <w:b/>
                <w:snapToGrid w:val="0"/>
                <w:color w:val="000000"/>
                <w:sz w:val="21"/>
                <w:szCs w:val="21"/>
              </w:rPr>
              <w:t>2</w:t>
            </w:r>
            <w:r w:rsidRPr="00453525">
              <w:rPr>
                <w:rFonts w:ascii="Helv" w:hAnsi="Helv"/>
                <w:snapToGrid w:val="0"/>
                <w:color w:val="000000"/>
                <w:sz w:val="21"/>
                <w:szCs w:val="21"/>
              </w:rPr>
              <w:t xml:space="preserve">.  </w:t>
            </w:r>
            <w:r w:rsidR="707849A6">
              <w:rPr>
                <w:rFonts w:ascii="Helv" w:hAnsi="Helv"/>
                <w:snapToGrid w:val="0"/>
                <w:color w:val="000000"/>
                <w:sz w:val="21"/>
                <w:szCs w:val="21"/>
              </w:rPr>
              <w:t xml:space="preserve">Entries keyed need to </w:t>
            </w:r>
            <w:proofErr w:type="gramStart"/>
            <w:r w:rsidR="707849A6">
              <w:rPr>
                <w:rFonts w:ascii="Helv" w:hAnsi="Helv"/>
                <w:snapToGrid w:val="0"/>
                <w:color w:val="000000"/>
                <w:sz w:val="21"/>
                <w:szCs w:val="21"/>
              </w:rPr>
              <w:t>match on</w:t>
            </w:r>
            <w:proofErr w:type="gramEnd"/>
            <w:r w:rsidR="707849A6">
              <w:rPr>
                <w:rFonts w:ascii="Helv" w:hAnsi="Helv"/>
                <w:snapToGrid w:val="0"/>
                <w:color w:val="000000"/>
                <w:sz w:val="21"/>
                <w:szCs w:val="21"/>
              </w:rPr>
              <w:t xml:space="preserve"> Report </w:t>
            </w:r>
            <w:r w:rsidR="496391F0">
              <w:rPr>
                <w:rFonts w:ascii="Helv" w:hAnsi="Helv"/>
                <w:snapToGrid w:val="0"/>
                <w:color w:val="000000"/>
                <w:sz w:val="21"/>
                <w:szCs w:val="21"/>
              </w:rPr>
              <w:t>16</w:t>
            </w:r>
            <w:r w:rsidR="6A0D9A96">
              <w:rPr>
                <w:rFonts w:ascii="Helv" w:hAnsi="Helv"/>
                <w:snapToGrid w:val="0"/>
                <w:color w:val="000000"/>
                <w:sz w:val="21"/>
                <w:szCs w:val="21"/>
              </w:rPr>
              <w:t>8</w:t>
            </w:r>
            <w:r w:rsidR="707849A6">
              <w:rPr>
                <w:rFonts w:ascii="Helv" w:hAnsi="Helv"/>
                <w:snapToGrid w:val="0"/>
                <w:color w:val="000000"/>
                <w:sz w:val="21"/>
                <w:szCs w:val="21"/>
              </w:rPr>
              <w:t xml:space="preserve">, and </w:t>
            </w:r>
            <w:r w:rsidR="6F9E3DB6">
              <w:rPr>
                <w:rFonts w:ascii="Helv" w:hAnsi="Helv"/>
                <w:snapToGrid w:val="0"/>
                <w:color w:val="000000"/>
                <w:sz w:val="21"/>
                <w:szCs w:val="21"/>
              </w:rPr>
              <w:t xml:space="preserve">only entries that were reversed </w:t>
            </w:r>
            <w:r w:rsidR="5027EA9E">
              <w:rPr>
                <w:rFonts w:ascii="Helv" w:hAnsi="Helv"/>
                <w:snapToGrid w:val="0"/>
                <w:color w:val="000000"/>
                <w:sz w:val="21"/>
                <w:szCs w:val="21"/>
              </w:rPr>
              <w:t xml:space="preserve">for the same dollar amount should be on the Unmatched tab of report </w:t>
            </w:r>
            <w:r w:rsidR="1FAB71A5">
              <w:rPr>
                <w:rFonts w:ascii="Helv" w:hAnsi="Helv"/>
                <w:snapToGrid w:val="0"/>
                <w:color w:val="000000"/>
                <w:sz w:val="21"/>
                <w:szCs w:val="21"/>
              </w:rPr>
              <w:t>16</w:t>
            </w:r>
            <w:r w:rsidR="77A0E315">
              <w:rPr>
                <w:rFonts w:ascii="Helv" w:hAnsi="Helv"/>
                <w:snapToGrid w:val="0"/>
                <w:color w:val="000000"/>
                <w:sz w:val="21"/>
                <w:szCs w:val="21"/>
              </w:rPr>
              <w:t>8</w:t>
            </w:r>
            <w:r w:rsidR="5027EA9E">
              <w:rPr>
                <w:rFonts w:ascii="Helv" w:hAnsi="Helv"/>
                <w:snapToGrid w:val="0"/>
                <w:color w:val="000000"/>
                <w:sz w:val="21"/>
                <w:szCs w:val="21"/>
              </w:rPr>
              <w:t>.</w:t>
            </w:r>
          </w:p>
          <w:p w14:paraId="406FB50C" w14:textId="7F7FF661" w:rsidR="721E1612" w:rsidRDefault="721E1612" w:rsidP="24D96BEE">
            <w:pPr>
              <w:rPr>
                <w:rFonts w:ascii="Helv" w:hAnsi="Helv"/>
                <w:color w:val="000000" w:themeColor="text1"/>
                <w:sz w:val="21"/>
                <w:szCs w:val="21"/>
              </w:rPr>
            </w:pPr>
            <w:r w:rsidRPr="24D96BEE">
              <w:rPr>
                <w:rFonts w:ascii="Helv" w:hAnsi="Helv"/>
                <w:color w:val="000000" w:themeColor="text1"/>
                <w:sz w:val="21"/>
                <w:szCs w:val="21"/>
              </w:rPr>
              <w:t xml:space="preserve">All 6/30 due to/due from entries should be completed by 8/12, including the matching of the interfund segment for every line on the NC GASB Due To and Due </w:t>
            </w:r>
            <w:proofErr w:type="gramStart"/>
            <w:r w:rsidRPr="24D96BEE">
              <w:rPr>
                <w:rFonts w:ascii="Helv" w:hAnsi="Helv"/>
                <w:color w:val="000000" w:themeColor="text1"/>
                <w:sz w:val="21"/>
                <w:szCs w:val="21"/>
              </w:rPr>
              <w:t>From</w:t>
            </w:r>
            <w:proofErr w:type="gramEnd"/>
            <w:r w:rsidRPr="24D96BEE">
              <w:rPr>
                <w:rFonts w:ascii="Helv" w:hAnsi="Helv"/>
                <w:color w:val="000000" w:themeColor="text1"/>
                <w:sz w:val="21"/>
                <w:szCs w:val="21"/>
              </w:rPr>
              <w:t xml:space="preserve"> Reconciliation Report (RTR169), as needed.</w:t>
            </w:r>
          </w:p>
          <w:p w14:paraId="35624278" w14:textId="139FB417" w:rsidR="24D96BEE" w:rsidRDefault="24D96BEE" w:rsidP="24D96BEE">
            <w:pPr>
              <w:rPr>
                <w:rFonts w:ascii="Helv" w:hAnsi="Helv"/>
                <w:color w:val="000000" w:themeColor="text1"/>
                <w:sz w:val="21"/>
                <w:szCs w:val="21"/>
              </w:rPr>
            </w:pPr>
          </w:p>
          <w:p w14:paraId="28A55F4D" w14:textId="77777777" w:rsidR="008C66AB" w:rsidRPr="002C1B77" w:rsidRDefault="008C66AB" w:rsidP="000119BA">
            <w:pPr>
              <w:rPr>
                <w:rFonts w:ascii="Helv" w:hAnsi="Helv"/>
                <w:snapToGrid w:val="0"/>
                <w:color w:val="000000"/>
                <w:sz w:val="21"/>
              </w:rPr>
            </w:pPr>
          </w:p>
          <w:p w14:paraId="2E9E1B0D" w14:textId="58DE3350" w:rsidR="00720E5A" w:rsidRPr="005805E6" w:rsidRDefault="00720E5A" w:rsidP="5FBD964A">
            <w:pPr>
              <w:rPr>
                <w:rFonts w:ascii="Helv" w:hAnsi="Helv"/>
                <w:b/>
                <w:bCs/>
                <w:snapToGrid w:val="0"/>
                <w:sz w:val="21"/>
                <w:szCs w:val="21"/>
              </w:rPr>
            </w:pPr>
            <w:r w:rsidRPr="5FBD964A">
              <w:rPr>
                <w:rFonts w:ascii="Helv" w:hAnsi="Helv"/>
                <w:b/>
                <w:bCs/>
                <w:snapToGrid w:val="0"/>
                <w:sz w:val="21"/>
                <w:szCs w:val="21"/>
              </w:rPr>
              <w:t>FIXED ASSETS: (NC</w:t>
            </w:r>
            <w:r w:rsidR="1AF0C512" w:rsidRPr="5FBD964A">
              <w:rPr>
                <w:rFonts w:ascii="Helv" w:hAnsi="Helv"/>
                <w:b/>
                <w:bCs/>
                <w:snapToGrid w:val="0"/>
                <w:sz w:val="21"/>
                <w:szCs w:val="21"/>
              </w:rPr>
              <w:t>FS</w:t>
            </w:r>
            <w:r w:rsidRPr="5FBD964A">
              <w:rPr>
                <w:rFonts w:ascii="Helv" w:hAnsi="Helv"/>
                <w:b/>
                <w:bCs/>
                <w:snapToGrid w:val="0"/>
                <w:sz w:val="21"/>
                <w:szCs w:val="21"/>
              </w:rPr>
              <w:t xml:space="preserve"> FA </w:t>
            </w:r>
            <w:r w:rsidR="34C8F36B" w:rsidRPr="5FBD964A">
              <w:rPr>
                <w:rFonts w:ascii="Helv" w:hAnsi="Helv"/>
                <w:b/>
                <w:bCs/>
                <w:snapToGrid w:val="0"/>
                <w:sz w:val="21"/>
                <w:szCs w:val="21"/>
              </w:rPr>
              <w:t xml:space="preserve">Module </w:t>
            </w:r>
            <w:r w:rsidRPr="5FBD964A">
              <w:rPr>
                <w:rFonts w:ascii="Helv" w:hAnsi="Helv"/>
                <w:b/>
                <w:bCs/>
                <w:snapToGrid w:val="0"/>
                <w:sz w:val="21"/>
                <w:szCs w:val="21"/>
              </w:rPr>
              <w:t xml:space="preserve">users only) </w:t>
            </w:r>
          </w:p>
          <w:p w14:paraId="02809F76" w14:textId="7F431EAA" w:rsidR="00720E5A" w:rsidRPr="000D7383" w:rsidRDefault="00720E5A" w:rsidP="5FBD964A">
            <w:pPr>
              <w:numPr>
                <w:ilvl w:val="0"/>
                <w:numId w:val="29"/>
              </w:numPr>
              <w:ind w:left="0"/>
              <w:rPr>
                <w:rFonts w:ascii="Helv" w:hAnsi="Helv"/>
                <w:snapToGrid w:val="0"/>
                <w:sz w:val="21"/>
                <w:szCs w:val="21"/>
              </w:rPr>
            </w:pPr>
            <w:r w:rsidRPr="5FBD964A">
              <w:rPr>
                <w:rFonts w:ascii="Helv" w:hAnsi="Helv"/>
                <w:snapToGrid w:val="0"/>
                <w:sz w:val="21"/>
                <w:szCs w:val="21"/>
              </w:rPr>
              <w:t xml:space="preserve"> Last available day for entering fixed asset information in the fixed </w:t>
            </w:r>
            <w:proofErr w:type="gramStart"/>
            <w:r w:rsidRPr="5FBD964A">
              <w:rPr>
                <w:rFonts w:ascii="Helv" w:hAnsi="Helv"/>
                <w:snapToGrid w:val="0"/>
                <w:sz w:val="21"/>
                <w:szCs w:val="21"/>
              </w:rPr>
              <w:t xml:space="preserve">asset </w:t>
            </w:r>
            <w:r w:rsidR="63747D2F" w:rsidRPr="5FBD964A">
              <w:rPr>
                <w:rFonts w:ascii="Helv" w:hAnsi="Helv"/>
                <w:snapToGrid w:val="0"/>
                <w:sz w:val="21"/>
                <w:szCs w:val="21"/>
              </w:rPr>
              <w:t xml:space="preserve"> module</w:t>
            </w:r>
            <w:proofErr w:type="gramEnd"/>
            <w:r w:rsidRPr="5FBD964A">
              <w:rPr>
                <w:rFonts w:ascii="Helv" w:hAnsi="Helv"/>
                <w:snapToGrid w:val="0"/>
                <w:sz w:val="21"/>
                <w:szCs w:val="21"/>
              </w:rPr>
              <w:t xml:space="preserve"> </w:t>
            </w:r>
          </w:p>
          <w:p w14:paraId="1B722E43" w14:textId="77777777" w:rsidR="00720E5A" w:rsidRPr="000D7383" w:rsidRDefault="00720E5A" w:rsidP="5FBD964A">
            <w:pPr>
              <w:numPr>
                <w:ilvl w:val="0"/>
                <w:numId w:val="29"/>
              </w:numPr>
              <w:tabs>
                <w:tab w:val="left" w:pos="55"/>
              </w:tabs>
              <w:ind w:left="55"/>
              <w:rPr>
                <w:rFonts w:ascii="Helv" w:hAnsi="Helv"/>
                <w:snapToGrid w:val="0"/>
                <w:sz w:val="21"/>
                <w:szCs w:val="21"/>
              </w:rPr>
            </w:pPr>
            <w:r w:rsidRPr="5FBD964A">
              <w:rPr>
                <w:rFonts w:ascii="Helv" w:hAnsi="Helv"/>
                <w:snapToGrid w:val="0"/>
                <w:sz w:val="21"/>
                <w:szCs w:val="21"/>
              </w:rPr>
              <w:t xml:space="preserve">Fixed asset final reports available </w:t>
            </w:r>
          </w:p>
          <w:p w14:paraId="06658342" w14:textId="77777777" w:rsidR="00CD4952" w:rsidRPr="00092361" w:rsidRDefault="00CD4952" w:rsidP="000119BA">
            <w:pPr>
              <w:numPr>
                <w:ilvl w:val="0"/>
                <w:numId w:val="29"/>
              </w:numPr>
              <w:tabs>
                <w:tab w:val="left" w:pos="55"/>
              </w:tabs>
              <w:ind w:left="55"/>
              <w:rPr>
                <w:rFonts w:ascii="Helv" w:hAnsi="Helv"/>
                <w:snapToGrid w:val="0"/>
                <w:sz w:val="21"/>
              </w:rPr>
            </w:pPr>
          </w:p>
          <w:p w14:paraId="7F6926F5" w14:textId="77777777" w:rsidR="000D7383" w:rsidRPr="000D7383" w:rsidRDefault="000D7383" w:rsidP="000119BA">
            <w:pPr>
              <w:rPr>
                <w:rFonts w:ascii="Helv" w:hAnsi="Helv"/>
                <w:b/>
                <w:snapToGrid w:val="0"/>
                <w:sz w:val="21"/>
              </w:rPr>
            </w:pPr>
            <w:r w:rsidRPr="000D7383">
              <w:rPr>
                <w:rFonts w:ascii="Helv" w:hAnsi="Helv"/>
                <w:b/>
                <w:snapToGrid w:val="0"/>
                <w:sz w:val="21"/>
              </w:rPr>
              <w:t>GASB 68 PENSION ENTRIES: (For Certain Proprietary Funds)</w:t>
            </w:r>
          </w:p>
          <w:p w14:paraId="5FC04D09" w14:textId="2D71082E" w:rsidR="000D7383" w:rsidRDefault="000D7383" w:rsidP="000119BA">
            <w:pPr>
              <w:rPr>
                <w:rFonts w:ascii="Helv" w:hAnsi="Helv"/>
                <w:snapToGrid w:val="0"/>
                <w:sz w:val="21"/>
                <w:szCs w:val="21"/>
              </w:rPr>
            </w:pPr>
            <w:r w:rsidRPr="1974B432">
              <w:rPr>
                <w:rFonts w:ascii="Helv" w:hAnsi="Helv"/>
                <w:snapToGrid w:val="0"/>
                <w:sz w:val="21"/>
                <w:szCs w:val="21"/>
              </w:rPr>
              <w:t xml:space="preserve">OSC will provide </w:t>
            </w:r>
            <w:r w:rsidR="00450A16" w:rsidRPr="1974B432">
              <w:rPr>
                <w:rFonts w:ascii="Helv" w:hAnsi="Helv"/>
                <w:snapToGrid w:val="0"/>
                <w:sz w:val="21"/>
                <w:szCs w:val="21"/>
              </w:rPr>
              <w:t xml:space="preserve">GASB 68 </w:t>
            </w:r>
            <w:r w:rsidR="001C13C9" w:rsidRPr="1974B432">
              <w:rPr>
                <w:rFonts w:ascii="Helv" w:hAnsi="Helv"/>
                <w:snapToGrid w:val="0"/>
                <w:sz w:val="21"/>
                <w:szCs w:val="21"/>
              </w:rPr>
              <w:t>information</w:t>
            </w:r>
            <w:r w:rsidR="00450A16" w:rsidRPr="1974B432">
              <w:rPr>
                <w:rFonts w:ascii="Helv" w:hAnsi="Helv"/>
                <w:snapToGrid w:val="0"/>
                <w:sz w:val="21"/>
                <w:szCs w:val="21"/>
              </w:rPr>
              <w:t xml:space="preserve"> to </w:t>
            </w:r>
            <w:r w:rsidRPr="1974B432">
              <w:rPr>
                <w:rFonts w:ascii="Helv" w:hAnsi="Helv"/>
                <w:snapToGrid w:val="0"/>
                <w:sz w:val="21"/>
                <w:szCs w:val="21"/>
              </w:rPr>
              <w:t xml:space="preserve">the proprietary funds that will be required to record </w:t>
            </w:r>
            <w:r w:rsidR="00853C84" w:rsidRPr="1974B432">
              <w:rPr>
                <w:rFonts w:ascii="Helv" w:hAnsi="Helv"/>
                <w:snapToGrid w:val="0"/>
                <w:sz w:val="21"/>
                <w:szCs w:val="21"/>
              </w:rPr>
              <w:t>13</w:t>
            </w:r>
            <w:r w:rsidR="00853C84" w:rsidRPr="1974B432">
              <w:rPr>
                <w:rFonts w:ascii="Helv" w:hAnsi="Helv"/>
                <w:snapToGrid w:val="0"/>
                <w:sz w:val="21"/>
                <w:szCs w:val="21"/>
                <w:vertAlign w:val="superscript"/>
              </w:rPr>
              <w:t>th</w:t>
            </w:r>
            <w:r w:rsidR="00853C84" w:rsidRPr="1974B432">
              <w:rPr>
                <w:rFonts w:ascii="Helv" w:hAnsi="Helv"/>
                <w:snapToGrid w:val="0"/>
                <w:sz w:val="21"/>
                <w:szCs w:val="21"/>
              </w:rPr>
              <w:t xml:space="preserve"> period entries </w:t>
            </w:r>
            <w:r w:rsidR="497A3440" w:rsidRPr="1974B432">
              <w:rPr>
                <w:rFonts w:ascii="Helv" w:hAnsi="Helv"/>
                <w:snapToGrid w:val="0"/>
                <w:sz w:val="21"/>
                <w:szCs w:val="21"/>
              </w:rPr>
              <w:t xml:space="preserve">in the 13_Jun-25 </w:t>
            </w:r>
            <w:r w:rsidR="37AFB6CE" w:rsidRPr="1974B432">
              <w:rPr>
                <w:rFonts w:ascii="Helv" w:hAnsi="Helv"/>
                <w:snapToGrid w:val="0"/>
                <w:sz w:val="21"/>
                <w:szCs w:val="21"/>
              </w:rPr>
              <w:t xml:space="preserve">period </w:t>
            </w:r>
            <w:r w:rsidR="00853C84" w:rsidRPr="1974B432">
              <w:rPr>
                <w:rFonts w:ascii="Helv" w:hAnsi="Helv"/>
                <w:snapToGrid w:val="0"/>
                <w:sz w:val="21"/>
                <w:szCs w:val="21"/>
              </w:rPr>
              <w:t xml:space="preserve">for </w:t>
            </w:r>
            <w:r w:rsidRPr="1974B432">
              <w:rPr>
                <w:rFonts w:ascii="Helv" w:hAnsi="Helv"/>
                <w:snapToGrid w:val="0"/>
                <w:sz w:val="21"/>
                <w:szCs w:val="21"/>
              </w:rPr>
              <w:t xml:space="preserve">their proportionate share of the net pension liability, pension expense and deferred outflows/deferred inflows. </w:t>
            </w:r>
            <w:r w:rsidR="00450A16" w:rsidRPr="1974B432">
              <w:rPr>
                <w:rFonts w:ascii="Helv" w:hAnsi="Helv"/>
                <w:snapToGrid w:val="0"/>
                <w:sz w:val="21"/>
                <w:szCs w:val="21"/>
              </w:rPr>
              <w:t xml:space="preserve">OSC </w:t>
            </w:r>
            <w:r w:rsidRPr="1974B432">
              <w:rPr>
                <w:rFonts w:ascii="Helv" w:hAnsi="Helv"/>
                <w:snapToGrid w:val="0"/>
                <w:sz w:val="21"/>
                <w:szCs w:val="21"/>
              </w:rPr>
              <w:t xml:space="preserve">will also provide the </w:t>
            </w:r>
            <w:r w:rsidR="00450A16" w:rsidRPr="1974B432">
              <w:rPr>
                <w:rFonts w:ascii="Helv" w:hAnsi="Helv"/>
                <w:snapToGrid w:val="0"/>
                <w:sz w:val="21"/>
                <w:szCs w:val="21"/>
              </w:rPr>
              <w:t xml:space="preserve">net pension liability </w:t>
            </w:r>
            <w:r w:rsidRPr="1974B432">
              <w:rPr>
                <w:rFonts w:ascii="Helv" w:hAnsi="Helv"/>
                <w:snapToGrid w:val="0"/>
                <w:sz w:val="21"/>
                <w:szCs w:val="21"/>
              </w:rPr>
              <w:t xml:space="preserve">information needed to complete the </w:t>
            </w:r>
            <w:r w:rsidR="00122616" w:rsidRPr="1974B432">
              <w:rPr>
                <w:rFonts w:ascii="Helv" w:hAnsi="Helv"/>
                <w:snapToGrid w:val="0"/>
                <w:sz w:val="21"/>
                <w:szCs w:val="21"/>
              </w:rPr>
              <w:t>ACFR</w:t>
            </w:r>
            <w:r w:rsidRPr="1974B432">
              <w:rPr>
                <w:rFonts w:ascii="Helv" w:hAnsi="Helv"/>
                <w:snapToGrid w:val="0"/>
                <w:sz w:val="21"/>
                <w:szCs w:val="21"/>
              </w:rPr>
              <w:t xml:space="preserve"> worksheet 310. </w:t>
            </w:r>
          </w:p>
          <w:p w14:paraId="6F582F54" w14:textId="16769E7C" w:rsidR="000D7383" w:rsidRDefault="000D7383" w:rsidP="000119BA">
            <w:pPr>
              <w:rPr>
                <w:rFonts w:ascii="Helv" w:hAnsi="Helv"/>
                <w:snapToGrid w:val="0"/>
                <w:sz w:val="21"/>
                <w:szCs w:val="21"/>
              </w:rPr>
            </w:pPr>
            <w:r w:rsidRPr="27196449">
              <w:rPr>
                <w:rFonts w:ascii="Helv" w:hAnsi="Helv"/>
                <w:snapToGrid w:val="0"/>
                <w:sz w:val="21"/>
                <w:szCs w:val="21"/>
              </w:rPr>
              <w:t xml:space="preserve">  -</w:t>
            </w:r>
            <w:r w:rsidR="00853C84" w:rsidRPr="27196449">
              <w:rPr>
                <w:rFonts w:ascii="Helv" w:hAnsi="Helv"/>
                <w:snapToGrid w:val="0"/>
                <w:sz w:val="21"/>
                <w:szCs w:val="21"/>
              </w:rPr>
              <w:t>GASB 68 pension entries recorded in N</w:t>
            </w:r>
            <w:r w:rsidR="1037A75A" w:rsidRPr="27196449">
              <w:rPr>
                <w:rFonts w:ascii="Helv" w:hAnsi="Helv"/>
                <w:snapToGrid w:val="0"/>
                <w:sz w:val="21"/>
                <w:szCs w:val="21"/>
              </w:rPr>
              <w:t>CFS</w:t>
            </w:r>
            <w:r w:rsidR="00853C84" w:rsidRPr="27196449">
              <w:rPr>
                <w:rFonts w:ascii="Helv" w:hAnsi="Helv"/>
                <w:snapToGrid w:val="0"/>
                <w:sz w:val="21"/>
                <w:szCs w:val="21"/>
              </w:rPr>
              <w:t xml:space="preserve">   </w:t>
            </w:r>
            <w:r w:rsidRPr="27196449">
              <w:rPr>
                <w:rFonts w:ascii="Helv" w:hAnsi="Helv"/>
                <w:snapToGrid w:val="0"/>
                <w:sz w:val="21"/>
                <w:szCs w:val="21"/>
              </w:rPr>
              <w:t xml:space="preserve"> </w:t>
            </w:r>
          </w:p>
          <w:p w14:paraId="59BA48CA" w14:textId="77777777" w:rsidR="0051643C" w:rsidRDefault="0051643C" w:rsidP="00DB60DC">
            <w:pPr>
              <w:rPr>
                <w:rFonts w:ascii="Helv" w:hAnsi="Helv"/>
                <w:b/>
                <w:snapToGrid w:val="0"/>
                <w:sz w:val="21"/>
              </w:rPr>
            </w:pPr>
          </w:p>
          <w:p w14:paraId="6ADD4368" w14:textId="77777777" w:rsidR="00E22EB8" w:rsidRDefault="00E22EB8" w:rsidP="00DB60DC">
            <w:pPr>
              <w:rPr>
                <w:rFonts w:ascii="Helv" w:hAnsi="Helv"/>
                <w:b/>
                <w:snapToGrid w:val="0"/>
                <w:sz w:val="21"/>
              </w:rPr>
            </w:pPr>
          </w:p>
          <w:p w14:paraId="15002DA5" w14:textId="77777777" w:rsidR="0051643C" w:rsidRDefault="0051643C" w:rsidP="00DB60DC">
            <w:pPr>
              <w:rPr>
                <w:rFonts w:ascii="Helv" w:hAnsi="Helv"/>
                <w:b/>
                <w:snapToGrid w:val="0"/>
                <w:sz w:val="21"/>
              </w:rPr>
            </w:pPr>
          </w:p>
          <w:p w14:paraId="20915A6B" w14:textId="5A875622" w:rsidR="00DB60DC" w:rsidRPr="000D7383" w:rsidRDefault="00DB60DC" w:rsidP="00DB60DC">
            <w:pPr>
              <w:rPr>
                <w:rFonts w:ascii="Helv" w:hAnsi="Helv"/>
                <w:b/>
                <w:snapToGrid w:val="0"/>
                <w:sz w:val="21"/>
              </w:rPr>
            </w:pPr>
            <w:r w:rsidRPr="000D7383">
              <w:rPr>
                <w:rFonts w:ascii="Helv" w:hAnsi="Helv"/>
                <w:b/>
                <w:snapToGrid w:val="0"/>
                <w:sz w:val="21"/>
              </w:rPr>
              <w:t xml:space="preserve">GASB </w:t>
            </w:r>
            <w:r>
              <w:rPr>
                <w:rFonts w:ascii="Helv" w:hAnsi="Helv"/>
                <w:b/>
                <w:snapToGrid w:val="0"/>
                <w:sz w:val="21"/>
              </w:rPr>
              <w:t>75</w:t>
            </w:r>
            <w:r w:rsidRPr="000D7383">
              <w:rPr>
                <w:rFonts w:ascii="Helv" w:hAnsi="Helv"/>
                <w:b/>
                <w:snapToGrid w:val="0"/>
                <w:sz w:val="21"/>
              </w:rPr>
              <w:t xml:space="preserve"> </w:t>
            </w:r>
            <w:r>
              <w:rPr>
                <w:rFonts w:ascii="Helv" w:hAnsi="Helv"/>
                <w:b/>
                <w:snapToGrid w:val="0"/>
                <w:sz w:val="21"/>
              </w:rPr>
              <w:t>OPEB</w:t>
            </w:r>
            <w:r w:rsidRPr="000D7383">
              <w:rPr>
                <w:rFonts w:ascii="Helv" w:hAnsi="Helv"/>
                <w:b/>
                <w:snapToGrid w:val="0"/>
                <w:sz w:val="21"/>
              </w:rPr>
              <w:t xml:space="preserve"> ENTRIES: (For Certain Proprietary Funds)</w:t>
            </w:r>
          </w:p>
          <w:p w14:paraId="3F96E2EB" w14:textId="61441EB5" w:rsidR="00DB60DC" w:rsidRDefault="00DB60DC" w:rsidP="00DB60DC">
            <w:pPr>
              <w:rPr>
                <w:rFonts w:ascii="Helv" w:hAnsi="Helv"/>
                <w:snapToGrid w:val="0"/>
                <w:sz w:val="21"/>
                <w:szCs w:val="21"/>
              </w:rPr>
            </w:pPr>
            <w:r w:rsidRPr="1974B432">
              <w:rPr>
                <w:rFonts w:ascii="Helv" w:hAnsi="Helv"/>
                <w:snapToGrid w:val="0"/>
                <w:sz w:val="21"/>
                <w:szCs w:val="21"/>
              </w:rPr>
              <w:t>OSC will provide GASB 75 information to the proprietary funds that will be required to record 13</w:t>
            </w:r>
            <w:r w:rsidRPr="1974B432">
              <w:rPr>
                <w:rFonts w:ascii="Helv" w:hAnsi="Helv"/>
                <w:snapToGrid w:val="0"/>
                <w:sz w:val="21"/>
                <w:szCs w:val="21"/>
                <w:vertAlign w:val="superscript"/>
              </w:rPr>
              <w:t>th</w:t>
            </w:r>
            <w:r w:rsidRPr="1974B432">
              <w:rPr>
                <w:rFonts w:ascii="Helv" w:hAnsi="Helv"/>
                <w:snapToGrid w:val="0"/>
                <w:sz w:val="21"/>
                <w:szCs w:val="21"/>
              </w:rPr>
              <w:t xml:space="preserve"> period entries </w:t>
            </w:r>
            <w:r w:rsidR="0703C43A" w:rsidRPr="1974B432">
              <w:rPr>
                <w:rFonts w:ascii="Helv" w:hAnsi="Helv"/>
                <w:sz w:val="21"/>
                <w:szCs w:val="21"/>
              </w:rPr>
              <w:t xml:space="preserve">in the 13_Jun-25 </w:t>
            </w:r>
            <w:r w:rsidR="15D71B35" w:rsidRPr="1974B432">
              <w:rPr>
                <w:rFonts w:ascii="Helv" w:hAnsi="Helv"/>
                <w:sz w:val="21"/>
                <w:szCs w:val="21"/>
              </w:rPr>
              <w:t xml:space="preserve">period </w:t>
            </w:r>
            <w:r w:rsidR="0703C43A" w:rsidRPr="1974B432">
              <w:rPr>
                <w:rFonts w:ascii="Helv" w:hAnsi="Helv"/>
                <w:sz w:val="21"/>
                <w:szCs w:val="21"/>
              </w:rPr>
              <w:t>in the NC Accrual Ledger</w:t>
            </w:r>
            <w:r w:rsidR="0703C43A" w:rsidRPr="1974B432">
              <w:rPr>
                <w:rFonts w:ascii="Helv" w:hAnsi="Helv"/>
                <w:snapToGrid w:val="0"/>
                <w:sz w:val="21"/>
                <w:szCs w:val="21"/>
              </w:rPr>
              <w:t xml:space="preserve"> </w:t>
            </w:r>
            <w:r w:rsidRPr="1974B432">
              <w:rPr>
                <w:rFonts w:ascii="Helv" w:hAnsi="Helv"/>
                <w:snapToGrid w:val="0"/>
                <w:sz w:val="21"/>
                <w:szCs w:val="21"/>
              </w:rPr>
              <w:t xml:space="preserve">for their proportionate share of the net </w:t>
            </w:r>
            <w:r w:rsidR="00EB1FA3" w:rsidRPr="1974B432">
              <w:rPr>
                <w:rFonts w:ascii="Helv" w:hAnsi="Helv"/>
                <w:snapToGrid w:val="0"/>
                <w:sz w:val="21"/>
                <w:szCs w:val="21"/>
              </w:rPr>
              <w:t>OPEB</w:t>
            </w:r>
            <w:r w:rsidRPr="1974B432">
              <w:rPr>
                <w:rFonts w:ascii="Helv" w:hAnsi="Helv"/>
                <w:snapToGrid w:val="0"/>
                <w:sz w:val="21"/>
                <w:szCs w:val="21"/>
              </w:rPr>
              <w:t xml:space="preserve"> liability, </w:t>
            </w:r>
            <w:r w:rsidR="00EB1FA3" w:rsidRPr="1974B432">
              <w:rPr>
                <w:rFonts w:ascii="Helv" w:hAnsi="Helv"/>
                <w:snapToGrid w:val="0"/>
                <w:sz w:val="21"/>
                <w:szCs w:val="21"/>
              </w:rPr>
              <w:t>OPEB</w:t>
            </w:r>
            <w:r w:rsidRPr="1974B432">
              <w:rPr>
                <w:rFonts w:ascii="Helv" w:hAnsi="Helv"/>
                <w:snapToGrid w:val="0"/>
                <w:sz w:val="21"/>
                <w:szCs w:val="21"/>
              </w:rPr>
              <w:t xml:space="preserve"> expense and deferred outflows/deferred inflows. OSC will also provide the net </w:t>
            </w:r>
            <w:r w:rsidR="00EB1FA3" w:rsidRPr="1974B432">
              <w:rPr>
                <w:rFonts w:ascii="Helv" w:hAnsi="Helv"/>
                <w:snapToGrid w:val="0"/>
                <w:sz w:val="21"/>
                <w:szCs w:val="21"/>
              </w:rPr>
              <w:t>OPEB</w:t>
            </w:r>
            <w:r w:rsidRPr="1974B432">
              <w:rPr>
                <w:rFonts w:ascii="Helv" w:hAnsi="Helv"/>
                <w:snapToGrid w:val="0"/>
                <w:sz w:val="21"/>
                <w:szCs w:val="21"/>
              </w:rPr>
              <w:t xml:space="preserve"> liability information needed to complete the </w:t>
            </w:r>
            <w:r w:rsidR="00122616" w:rsidRPr="1974B432">
              <w:rPr>
                <w:rFonts w:ascii="Helv" w:hAnsi="Helv"/>
                <w:snapToGrid w:val="0"/>
                <w:sz w:val="21"/>
                <w:szCs w:val="21"/>
              </w:rPr>
              <w:t>ACFR</w:t>
            </w:r>
            <w:r w:rsidRPr="1974B432">
              <w:rPr>
                <w:rFonts w:ascii="Helv" w:hAnsi="Helv"/>
                <w:sz w:val="21"/>
                <w:szCs w:val="21"/>
              </w:rPr>
              <w:t xml:space="preserve"> worksheet 310. </w:t>
            </w:r>
          </w:p>
          <w:p w14:paraId="1A8C2DEA" w14:textId="4FBAD06F" w:rsidR="00DB60DC" w:rsidRDefault="00DB60DC" w:rsidP="00DB60DC">
            <w:pPr>
              <w:rPr>
                <w:rFonts w:ascii="Helv" w:hAnsi="Helv"/>
                <w:snapToGrid w:val="0"/>
                <w:sz w:val="21"/>
                <w:szCs w:val="21"/>
              </w:rPr>
            </w:pPr>
            <w:r w:rsidRPr="27196449">
              <w:rPr>
                <w:rFonts w:ascii="Helv" w:hAnsi="Helv"/>
                <w:snapToGrid w:val="0"/>
                <w:sz w:val="21"/>
                <w:szCs w:val="21"/>
              </w:rPr>
              <w:t xml:space="preserve">  -GASB </w:t>
            </w:r>
            <w:r w:rsidR="00EB1FA3" w:rsidRPr="27196449">
              <w:rPr>
                <w:rFonts w:ascii="Helv" w:hAnsi="Helv"/>
                <w:snapToGrid w:val="0"/>
                <w:sz w:val="21"/>
                <w:szCs w:val="21"/>
              </w:rPr>
              <w:t>75</w:t>
            </w:r>
            <w:r w:rsidRPr="27196449">
              <w:rPr>
                <w:rFonts w:ascii="Helv" w:hAnsi="Helv"/>
                <w:snapToGrid w:val="0"/>
                <w:sz w:val="21"/>
                <w:szCs w:val="21"/>
              </w:rPr>
              <w:t xml:space="preserve"> </w:t>
            </w:r>
            <w:r w:rsidR="00B00C7E" w:rsidRPr="27196449">
              <w:rPr>
                <w:rFonts w:ascii="Helv" w:hAnsi="Helv"/>
                <w:snapToGrid w:val="0"/>
                <w:sz w:val="21"/>
                <w:szCs w:val="21"/>
              </w:rPr>
              <w:t>OPEB</w:t>
            </w:r>
            <w:r w:rsidRPr="27196449">
              <w:rPr>
                <w:rFonts w:ascii="Helv" w:hAnsi="Helv"/>
                <w:snapToGrid w:val="0"/>
                <w:sz w:val="21"/>
                <w:szCs w:val="21"/>
              </w:rPr>
              <w:t xml:space="preserve"> entries recorded in N</w:t>
            </w:r>
            <w:r w:rsidR="1AEBE671" w:rsidRPr="27196449">
              <w:rPr>
                <w:rFonts w:ascii="Helv" w:hAnsi="Helv"/>
                <w:snapToGrid w:val="0"/>
                <w:sz w:val="21"/>
                <w:szCs w:val="21"/>
              </w:rPr>
              <w:t>CFS</w:t>
            </w:r>
            <w:r w:rsidRPr="27196449">
              <w:rPr>
                <w:rFonts w:ascii="Helv" w:hAnsi="Helv"/>
                <w:snapToGrid w:val="0"/>
                <w:sz w:val="21"/>
                <w:szCs w:val="21"/>
              </w:rPr>
              <w:t xml:space="preserve"> </w:t>
            </w:r>
          </w:p>
          <w:p w14:paraId="0ECA1AA4" w14:textId="77777777" w:rsidR="00DB60DC" w:rsidRDefault="00DB60DC" w:rsidP="000119BA">
            <w:pPr>
              <w:rPr>
                <w:rFonts w:ascii="Helv" w:hAnsi="Helv"/>
                <w:b/>
                <w:snapToGrid w:val="0"/>
                <w:sz w:val="21"/>
              </w:rPr>
            </w:pPr>
          </w:p>
          <w:p w14:paraId="465A4B32" w14:textId="77777777" w:rsidR="00E23665" w:rsidRDefault="00E23665" w:rsidP="000119BA">
            <w:pPr>
              <w:rPr>
                <w:rFonts w:ascii="Helv" w:hAnsi="Helv"/>
                <w:b/>
                <w:snapToGrid w:val="0"/>
                <w:sz w:val="21"/>
              </w:rPr>
            </w:pPr>
          </w:p>
          <w:p w14:paraId="29393FCF" w14:textId="77777777" w:rsidR="00E23665" w:rsidRDefault="00E23665" w:rsidP="000119BA">
            <w:pPr>
              <w:rPr>
                <w:rFonts w:ascii="Helv" w:hAnsi="Helv"/>
                <w:b/>
                <w:snapToGrid w:val="0"/>
                <w:sz w:val="21"/>
              </w:rPr>
            </w:pPr>
          </w:p>
          <w:p w14:paraId="7A6CB4A1" w14:textId="03B7475C" w:rsidR="00720E5A" w:rsidRPr="005805E6" w:rsidRDefault="00720E5A" w:rsidP="000119BA">
            <w:pPr>
              <w:rPr>
                <w:rFonts w:ascii="Helv" w:hAnsi="Helv"/>
                <w:b/>
                <w:snapToGrid w:val="0"/>
                <w:sz w:val="21"/>
              </w:rPr>
            </w:pPr>
            <w:r w:rsidRPr="005805E6">
              <w:rPr>
                <w:rFonts w:ascii="Helv" w:hAnsi="Helv"/>
                <w:b/>
                <w:snapToGrid w:val="0"/>
                <w:sz w:val="21"/>
              </w:rPr>
              <w:t xml:space="preserve">COMPENSATED ABSENCES REPORT: (For </w:t>
            </w:r>
            <w:r w:rsidR="007C5FE4">
              <w:rPr>
                <w:rFonts w:ascii="Helv" w:hAnsi="Helv"/>
                <w:b/>
                <w:snapToGrid w:val="0"/>
                <w:sz w:val="21"/>
              </w:rPr>
              <w:t xml:space="preserve">HR-payroll </w:t>
            </w:r>
            <w:r w:rsidRPr="005805E6">
              <w:rPr>
                <w:rFonts w:ascii="Helv" w:hAnsi="Helv"/>
                <w:b/>
                <w:snapToGrid w:val="0"/>
                <w:sz w:val="21"/>
              </w:rPr>
              <w:t>users)</w:t>
            </w:r>
          </w:p>
          <w:p w14:paraId="375A8764" w14:textId="77777777" w:rsidR="004560FD" w:rsidRPr="00092361" w:rsidRDefault="004560FD" w:rsidP="004560FD">
            <w:pPr>
              <w:tabs>
                <w:tab w:val="left" w:pos="55"/>
              </w:tabs>
              <w:rPr>
                <w:rFonts w:ascii="Helv" w:hAnsi="Helv"/>
                <w:snapToGrid w:val="0"/>
                <w:sz w:val="21"/>
              </w:rPr>
            </w:pPr>
          </w:p>
          <w:p w14:paraId="2708C765" w14:textId="1A28825C" w:rsidR="007C5FE4" w:rsidRDefault="007C5FE4" w:rsidP="004560FD">
            <w:pPr>
              <w:rPr>
                <w:rFonts w:ascii="Helv" w:hAnsi="Helv"/>
                <w:snapToGrid w:val="0"/>
                <w:sz w:val="21"/>
                <w:szCs w:val="21"/>
              </w:rPr>
            </w:pPr>
            <w:r>
              <w:rPr>
                <w:rFonts w:ascii="Helv" w:hAnsi="Helv"/>
                <w:snapToGrid w:val="0"/>
                <w:sz w:val="21"/>
                <w:szCs w:val="21"/>
              </w:rPr>
              <w:t xml:space="preserve">Agencies on Integrated HR-payroll system with proprietary funds will post the compensated absence entry in the accounting system and complete </w:t>
            </w:r>
            <w:r w:rsidR="00122616">
              <w:rPr>
                <w:rFonts w:ascii="Helv" w:hAnsi="Helv"/>
                <w:snapToGrid w:val="0"/>
                <w:sz w:val="21"/>
                <w:szCs w:val="21"/>
              </w:rPr>
              <w:t>ACFR</w:t>
            </w:r>
            <w:r>
              <w:rPr>
                <w:rFonts w:ascii="Helv" w:hAnsi="Helv"/>
                <w:snapToGrid w:val="0"/>
                <w:sz w:val="21"/>
                <w:szCs w:val="21"/>
              </w:rPr>
              <w:t xml:space="preserve"> worksheet 310. OSC will provide the information needed to complete the </w:t>
            </w:r>
            <w:r w:rsidR="00122616">
              <w:rPr>
                <w:rFonts w:ascii="Helv" w:hAnsi="Helv"/>
                <w:snapToGrid w:val="0"/>
                <w:sz w:val="21"/>
                <w:szCs w:val="21"/>
              </w:rPr>
              <w:t>ACFR</w:t>
            </w:r>
            <w:r>
              <w:rPr>
                <w:rFonts w:ascii="Helv" w:hAnsi="Helv"/>
                <w:snapToGrid w:val="0"/>
                <w:sz w:val="21"/>
                <w:szCs w:val="21"/>
              </w:rPr>
              <w:t xml:space="preserve"> worksheet 310 and the compensation absences report to prepare the entry</w:t>
            </w:r>
          </w:p>
          <w:p w14:paraId="16D62CC9" w14:textId="77777777" w:rsidR="004560FD" w:rsidRPr="00092361" w:rsidRDefault="004560FD" w:rsidP="004560FD">
            <w:pPr>
              <w:rPr>
                <w:rFonts w:ascii="Helv" w:hAnsi="Helv"/>
                <w:snapToGrid w:val="0"/>
                <w:sz w:val="21"/>
              </w:rPr>
            </w:pPr>
            <w:r w:rsidRPr="00092361">
              <w:rPr>
                <w:rFonts w:ascii="Helv" w:hAnsi="Helv"/>
                <w:snapToGrid w:val="0"/>
                <w:sz w:val="21"/>
              </w:rPr>
              <w:t xml:space="preserve"> -</w:t>
            </w:r>
            <w:r w:rsidR="007C5FE4">
              <w:rPr>
                <w:rFonts w:ascii="Helv" w:hAnsi="Helv"/>
                <w:snapToGrid w:val="0"/>
                <w:sz w:val="21"/>
                <w:szCs w:val="21"/>
              </w:rPr>
              <w:t xml:space="preserve">Agencies should have </w:t>
            </w:r>
            <w:proofErr w:type="gramStart"/>
            <w:r w:rsidR="007C5FE4">
              <w:rPr>
                <w:rFonts w:ascii="Helv" w:hAnsi="Helv"/>
                <w:snapToGrid w:val="0"/>
                <w:sz w:val="21"/>
                <w:szCs w:val="21"/>
              </w:rPr>
              <w:t>all time entered on Integrated HR-payroll system</w:t>
            </w:r>
            <w:proofErr w:type="gramEnd"/>
            <w:r w:rsidR="00A06FE2">
              <w:rPr>
                <w:rFonts w:ascii="Helv" w:hAnsi="Helv"/>
                <w:snapToGrid w:val="0"/>
                <w:sz w:val="21"/>
                <w:szCs w:val="21"/>
              </w:rPr>
              <w:t xml:space="preserve"> by</w:t>
            </w:r>
          </w:p>
          <w:p w14:paraId="3180CC40" w14:textId="77777777" w:rsidR="004560FD" w:rsidRPr="00092361" w:rsidRDefault="004560FD" w:rsidP="004560FD">
            <w:pPr>
              <w:rPr>
                <w:rFonts w:ascii="Helv" w:hAnsi="Helv"/>
                <w:snapToGrid w:val="0"/>
                <w:sz w:val="21"/>
              </w:rPr>
            </w:pPr>
            <w:r w:rsidRPr="00092361">
              <w:rPr>
                <w:rFonts w:ascii="Helv" w:hAnsi="Helv"/>
                <w:snapToGrid w:val="0"/>
                <w:sz w:val="21"/>
              </w:rPr>
              <w:t xml:space="preserve"> -</w:t>
            </w:r>
            <w:r w:rsidR="007C5FE4">
              <w:rPr>
                <w:rFonts w:ascii="Helv" w:hAnsi="Helv"/>
                <w:snapToGrid w:val="0"/>
                <w:sz w:val="21"/>
                <w:szCs w:val="21"/>
              </w:rPr>
              <w:t xml:space="preserve">The compensated absence report for proprietary funds will be e-mailed </w:t>
            </w:r>
            <w:r w:rsidR="00A06FE2">
              <w:rPr>
                <w:rFonts w:ascii="Helv" w:hAnsi="Helv"/>
                <w:snapToGrid w:val="0"/>
                <w:sz w:val="21"/>
                <w:szCs w:val="21"/>
              </w:rPr>
              <w:t>to proprietary fund agencies by</w:t>
            </w:r>
            <w:r w:rsidR="007C5FE4">
              <w:rPr>
                <w:rFonts w:ascii="Helv" w:hAnsi="Helv"/>
                <w:snapToGrid w:val="0"/>
                <w:sz w:val="21"/>
                <w:szCs w:val="21"/>
              </w:rPr>
              <w:t>                                                      </w:t>
            </w:r>
          </w:p>
          <w:p w14:paraId="0D3DD462" w14:textId="7931F916" w:rsidR="00720E5A" w:rsidRPr="002C1B77" w:rsidRDefault="004560FD" w:rsidP="27196449">
            <w:pPr>
              <w:numPr>
                <w:ilvl w:val="0"/>
                <w:numId w:val="29"/>
              </w:numPr>
              <w:ind w:left="0"/>
              <w:rPr>
                <w:rFonts w:ascii="Helv" w:hAnsi="Helv"/>
                <w:snapToGrid w:val="0"/>
                <w:color w:val="000000"/>
                <w:sz w:val="21"/>
                <w:szCs w:val="21"/>
              </w:rPr>
            </w:pPr>
            <w:r w:rsidRPr="27196449">
              <w:rPr>
                <w:rFonts w:ascii="Helv" w:hAnsi="Helv"/>
                <w:snapToGrid w:val="0"/>
                <w:sz w:val="21"/>
                <w:szCs w:val="21"/>
              </w:rPr>
              <w:t xml:space="preserve"> -</w:t>
            </w:r>
            <w:r w:rsidR="007C5FE4">
              <w:rPr>
                <w:rFonts w:ascii="Helv" w:hAnsi="Helv"/>
                <w:snapToGrid w:val="0"/>
                <w:sz w:val="21"/>
                <w:szCs w:val="21"/>
              </w:rPr>
              <w:t xml:space="preserve">Agencies with proprietary funds should record the compensated absences accrual entry </w:t>
            </w:r>
            <w:r w:rsidR="00A06FE2">
              <w:rPr>
                <w:rFonts w:ascii="Helv" w:hAnsi="Helv"/>
                <w:snapToGrid w:val="0"/>
                <w:sz w:val="21"/>
                <w:szCs w:val="21"/>
              </w:rPr>
              <w:t>by</w:t>
            </w:r>
            <w:r w:rsidR="007C5FE4">
              <w:rPr>
                <w:rFonts w:ascii="Helv" w:hAnsi="Helv"/>
                <w:snapToGrid w:val="0"/>
                <w:sz w:val="21"/>
                <w:szCs w:val="21"/>
              </w:rPr>
              <w:t>                 </w:t>
            </w:r>
          </w:p>
          <w:p w14:paraId="68E1347C" w14:textId="0FC8A46F" w:rsidR="00720E5A" w:rsidRPr="002C1B77" w:rsidRDefault="00720E5A" w:rsidP="27196449">
            <w:pPr>
              <w:rPr>
                <w:rFonts w:ascii="Helv" w:hAnsi="Helv"/>
                <w:snapToGrid w:val="0"/>
                <w:sz w:val="21"/>
                <w:szCs w:val="21"/>
              </w:rPr>
            </w:pPr>
          </w:p>
          <w:p w14:paraId="06AC75B0" w14:textId="53A04E01" w:rsidR="00720E5A" w:rsidRPr="00453525" w:rsidRDefault="45BFC08A" w:rsidP="27196449">
            <w:pPr>
              <w:rPr>
                <w:rFonts w:ascii="Helv" w:hAnsi="Helv"/>
                <w:b/>
                <w:bCs/>
                <w:snapToGrid w:val="0"/>
                <w:sz w:val="21"/>
                <w:szCs w:val="21"/>
              </w:rPr>
            </w:pPr>
            <w:r w:rsidRPr="00453525">
              <w:rPr>
                <w:rFonts w:ascii="Helv" w:hAnsi="Helv"/>
                <w:b/>
                <w:bCs/>
                <w:snapToGrid w:val="0"/>
                <w:sz w:val="21"/>
                <w:szCs w:val="21"/>
              </w:rPr>
              <w:t>LEASE and SBITA ENTRIES</w:t>
            </w:r>
          </w:p>
          <w:p w14:paraId="06A9BC78" w14:textId="2868EA73" w:rsidR="00720E5A" w:rsidRPr="00453525" w:rsidRDefault="00720E5A" w:rsidP="27196449">
            <w:pPr>
              <w:rPr>
                <w:rFonts w:ascii="Helv" w:hAnsi="Helv"/>
                <w:b/>
                <w:bCs/>
                <w:snapToGrid w:val="0"/>
                <w:sz w:val="21"/>
                <w:szCs w:val="21"/>
              </w:rPr>
            </w:pPr>
          </w:p>
          <w:p w14:paraId="66F11A7D" w14:textId="3A66D3E7" w:rsidR="00720E5A" w:rsidRPr="00453525" w:rsidRDefault="45BFC08A" w:rsidP="27196449">
            <w:pPr>
              <w:rPr>
                <w:rFonts w:ascii="Helv" w:hAnsi="Helv"/>
                <w:snapToGrid w:val="0"/>
                <w:sz w:val="21"/>
                <w:szCs w:val="21"/>
              </w:rPr>
            </w:pPr>
            <w:r w:rsidRPr="00453525">
              <w:rPr>
                <w:rFonts w:ascii="Helv" w:hAnsi="Helv"/>
                <w:sz w:val="21"/>
                <w:szCs w:val="21"/>
              </w:rPr>
              <w:t>Agencies with lease and SBITA agreements will post entries in the accounting system</w:t>
            </w:r>
          </w:p>
          <w:p w14:paraId="352873B0" w14:textId="77777777" w:rsidR="00720E5A" w:rsidRPr="002C1B77" w:rsidRDefault="007C5FE4" w:rsidP="27196449">
            <w:pPr>
              <w:rPr>
                <w:rFonts w:ascii="Helv" w:hAnsi="Helv"/>
                <w:snapToGrid w:val="0"/>
                <w:color w:val="000000"/>
                <w:sz w:val="21"/>
                <w:szCs w:val="21"/>
              </w:rPr>
            </w:pPr>
            <w:r>
              <w:rPr>
                <w:rFonts w:ascii="Helv" w:hAnsi="Helv"/>
                <w:snapToGrid w:val="0"/>
                <w:sz w:val="21"/>
                <w:szCs w:val="21"/>
              </w:rPr>
              <w:t>                                   </w:t>
            </w:r>
          </w:p>
        </w:tc>
        <w:tc>
          <w:tcPr>
            <w:tcW w:w="1486" w:type="dxa"/>
            <w:gridSpan w:val="2"/>
            <w:tcBorders>
              <w:left w:val="single" w:sz="6" w:space="0" w:color="auto"/>
              <w:right w:val="single" w:sz="6" w:space="0" w:color="auto"/>
            </w:tcBorders>
          </w:tcPr>
          <w:p w14:paraId="6BEB08DE" w14:textId="48EEEBD6" w:rsidR="00720E5A" w:rsidRPr="005E7C95" w:rsidRDefault="00720E5A" w:rsidP="000119BA">
            <w:pPr>
              <w:jc w:val="center"/>
              <w:rPr>
                <w:rFonts w:ascii="Helv" w:hAnsi="Helv"/>
                <w:b/>
                <w:snapToGrid w:val="0"/>
                <w:sz w:val="21"/>
                <w:szCs w:val="21"/>
                <w:highlight w:val="yellow"/>
              </w:rPr>
            </w:pPr>
          </w:p>
          <w:p w14:paraId="32C01600" w14:textId="77777777" w:rsidR="003B4F2B" w:rsidRPr="00563EF0" w:rsidRDefault="003B4F2B" w:rsidP="000119BA">
            <w:pPr>
              <w:jc w:val="center"/>
              <w:rPr>
                <w:rFonts w:ascii="Helv" w:hAnsi="Helv"/>
                <w:b/>
                <w:snapToGrid w:val="0"/>
                <w:color w:val="FF0000"/>
                <w:sz w:val="21"/>
                <w:szCs w:val="21"/>
                <w:highlight w:val="yellow"/>
              </w:rPr>
            </w:pPr>
          </w:p>
          <w:p w14:paraId="0E18C077" w14:textId="04C57D03" w:rsidR="00030EA6" w:rsidRPr="00453525" w:rsidRDefault="00030EA6" w:rsidP="00030EA6">
            <w:pPr>
              <w:jc w:val="center"/>
              <w:rPr>
                <w:rFonts w:ascii="Helv" w:hAnsi="Helv"/>
                <w:b/>
                <w:snapToGrid w:val="0"/>
                <w:sz w:val="21"/>
                <w:szCs w:val="21"/>
              </w:rPr>
            </w:pPr>
            <w:r w:rsidRPr="00453525">
              <w:rPr>
                <w:rFonts w:ascii="Helv" w:hAnsi="Helv"/>
                <w:b/>
                <w:snapToGrid w:val="0"/>
                <w:sz w:val="21"/>
                <w:szCs w:val="21"/>
              </w:rPr>
              <w:t>8/</w:t>
            </w:r>
            <w:r w:rsidR="009734CE" w:rsidRPr="00453525">
              <w:rPr>
                <w:rFonts w:ascii="Helv" w:hAnsi="Helv"/>
                <w:b/>
                <w:snapToGrid w:val="0"/>
                <w:sz w:val="21"/>
                <w:szCs w:val="21"/>
              </w:rPr>
              <w:t>1</w:t>
            </w:r>
            <w:r w:rsidR="009D76B1" w:rsidRPr="00453525">
              <w:rPr>
                <w:rFonts w:ascii="Helv" w:hAnsi="Helv"/>
                <w:b/>
                <w:snapToGrid w:val="0"/>
                <w:sz w:val="21"/>
                <w:szCs w:val="21"/>
              </w:rPr>
              <w:t>2</w:t>
            </w:r>
          </w:p>
          <w:p w14:paraId="669C4D20" w14:textId="77777777" w:rsidR="003B4F2B" w:rsidRPr="00563EF0" w:rsidRDefault="003B4F2B" w:rsidP="000119BA">
            <w:pPr>
              <w:jc w:val="center"/>
              <w:rPr>
                <w:rFonts w:ascii="Helv" w:hAnsi="Helv"/>
                <w:b/>
                <w:snapToGrid w:val="0"/>
                <w:color w:val="FF0000"/>
                <w:sz w:val="21"/>
                <w:szCs w:val="21"/>
                <w:highlight w:val="yellow"/>
              </w:rPr>
            </w:pPr>
          </w:p>
          <w:p w14:paraId="1547B1CC" w14:textId="77777777" w:rsidR="003B4F2B" w:rsidRPr="00563EF0" w:rsidRDefault="003B4F2B" w:rsidP="000119BA">
            <w:pPr>
              <w:jc w:val="center"/>
              <w:rPr>
                <w:rFonts w:ascii="Helv" w:hAnsi="Helv"/>
                <w:b/>
                <w:snapToGrid w:val="0"/>
                <w:color w:val="FF0000"/>
                <w:sz w:val="21"/>
                <w:szCs w:val="21"/>
                <w:highlight w:val="yellow"/>
              </w:rPr>
            </w:pPr>
          </w:p>
          <w:p w14:paraId="7A7CAB88" w14:textId="152D4A34" w:rsidR="003B4F2B" w:rsidRPr="00453525" w:rsidRDefault="00E23665" w:rsidP="000119BA">
            <w:pPr>
              <w:jc w:val="center"/>
              <w:rPr>
                <w:rFonts w:ascii="Helv" w:hAnsi="Helv"/>
                <w:b/>
                <w:snapToGrid w:val="0"/>
                <w:sz w:val="21"/>
              </w:rPr>
            </w:pPr>
            <w:r w:rsidRPr="00453525">
              <w:rPr>
                <w:rFonts w:ascii="Helv" w:hAnsi="Helv"/>
                <w:b/>
                <w:snapToGrid w:val="0"/>
                <w:sz w:val="21"/>
              </w:rPr>
              <w:t>8/12</w:t>
            </w:r>
          </w:p>
          <w:p w14:paraId="1BCD8B1A" w14:textId="66ECBF8C" w:rsidR="003B4F2B" w:rsidRPr="000C7D88" w:rsidRDefault="003B4F2B" w:rsidP="000119BA">
            <w:pPr>
              <w:jc w:val="center"/>
              <w:rPr>
                <w:rFonts w:ascii="Helv" w:hAnsi="Helv"/>
                <w:b/>
                <w:snapToGrid w:val="0"/>
                <w:sz w:val="21"/>
              </w:rPr>
            </w:pPr>
          </w:p>
          <w:p w14:paraId="375E2050" w14:textId="77777777" w:rsidR="003B4F2B" w:rsidRDefault="003B4F2B" w:rsidP="000119BA">
            <w:pPr>
              <w:jc w:val="center"/>
              <w:rPr>
                <w:rFonts w:ascii="Helv" w:hAnsi="Helv"/>
                <w:b/>
                <w:snapToGrid w:val="0"/>
                <w:color w:val="FF0000"/>
                <w:sz w:val="21"/>
              </w:rPr>
            </w:pPr>
          </w:p>
          <w:p w14:paraId="3B0178AB" w14:textId="77777777" w:rsidR="00483C83" w:rsidRDefault="00483C83" w:rsidP="000119BA">
            <w:pPr>
              <w:jc w:val="center"/>
              <w:rPr>
                <w:rFonts w:ascii="Helv" w:hAnsi="Helv"/>
                <w:b/>
                <w:snapToGrid w:val="0"/>
                <w:color w:val="FF0000"/>
                <w:sz w:val="21"/>
              </w:rPr>
            </w:pPr>
          </w:p>
          <w:p w14:paraId="1AC8686D" w14:textId="77777777" w:rsidR="00483C83" w:rsidRDefault="00483C83" w:rsidP="000119BA">
            <w:pPr>
              <w:jc w:val="center"/>
              <w:rPr>
                <w:rFonts w:ascii="Helv" w:hAnsi="Helv"/>
                <w:b/>
                <w:snapToGrid w:val="0"/>
                <w:color w:val="FF0000"/>
                <w:sz w:val="21"/>
              </w:rPr>
            </w:pPr>
          </w:p>
          <w:p w14:paraId="50D41550" w14:textId="77777777" w:rsidR="00483C83" w:rsidRDefault="00483C83" w:rsidP="00291154">
            <w:pPr>
              <w:rPr>
                <w:rFonts w:ascii="Helv" w:hAnsi="Helv"/>
                <w:b/>
                <w:snapToGrid w:val="0"/>
                <w:color w:val="FF0000"/>
                <w:sz w:val="21"/>
              </w:rPr>
            </w:pPr>
          </w:p>
          <w:p w14:paraId="539E3F44" w14:textId="77777777" w:rsidR="009F21A9" w:rsidRPr="00563EF0" w:rsidRDefault="009F21A9" w:rsidP="00453525">
            <w:pPr>
              <w:rPr>
                <w:rFonts w:ascii="Helv" w:hAnsi="Helv"/>
                <w:b/>
                <w:snapToGrid w:val="0"/>
                <w:color w:val="FF0000"/>
                <w:sz w:val="21"/>
              </w:rPr>
            </w:pPr>
          </w:p>
          <w:p w14:paraId="310A7BEC" w14:textId="50DB323D" w:rsidR="00030EA6" w:rsidRPr="004A0D88" w:rsidRDefault="00030EA6" w:rsidP="5FBD964A">
            <w:pPr>
              <w:jc w:val="center"/>
              <w:rPr>
                <w:rFonts w:ascii="Helv" w:hAnsi="Helv"/>
                <w:b/>
                <w:bCs/>
                <w:snapToGrid w:val="0"/>
                <w:sz w:val="21"/>
                <w:szCs w:val="21"/>
              </w:rPr>
            </w:pPr>
            <w:r w:rsidRPr="5FBD964A">
              <w:rPr>
                <w:rFonts w:ascii="Helv" w:hAnsi="Helv"/>
                <w:b/>
                <w:bCs/>
                <w:snapToGrid w:val="0"/>
                <w:sz w:val="21"/>
                <w:szCs w:val="21"/>
              </w:rPr>
              <w:t>7/</w:t>
            </w:r>
            <w:r w:rsidR="004A0D88" w:rsidRPr="5FBD964A">
              <w:rPr>
                <w:rFonts w:ascii="Helv" w:hAnsi="Helv"/>
                <w:b/>
                <w:bCs/>
                <w:snapToGrid w:val="0"/>
                <w:sz w:val="21"/>
                <w:szCs w:val="21"/>
              </w:rPr>
              <w:t>2</w:t>
            </w:r>
            <w:r w:rsidR="00AD3FBF">
              <w:rPr>
                <w:rFonts w:ascii="Helv" w:hAnsi="Helv"/>
                <w:b/>
                <w:bCs/>
                <w:snapToGrid w:val="0"/>
                <w:sz w:val="21"/>
                <w:szCs w:val="21"/>
              </w:rPr>
              <w:t>7</w:t>
            </w:r>
          </w:p>
          <w:p w14:paraId="7A40E4EC" w14:textId="77777777" w:rsidR="003B4F2B" w:rsidRPr="00563EF0" w:rsidRDefault="003B4F2B" w:rsidP="000119BA">
            <w:pPr>
              <w:jc w:val="center"/>
              <w:rPr>
                <w:rFonts w:ascii="Helv" w:hAnsi="Helv"/>
                <w:b/>
                <w:snapToGrid w:val="0"/>
                <w:color w:val="FF0000"/>
                <w:sz w:val="21"/>
              </w:rPr>
            </w:pPr>
          </w:p>
          <w:p w14:paraId="5FD86990" w14:textId="53B6DA30" w:rsidR="003B4F2B" w:rsidRPr="00563EF0" w:rsidRDefault="075330C4" w:rsidP="2A38CFE0">
            <w:pPr>
              <w:jc w:val="center"/>
              <w:rPr>
                <w:rFonts w:ascii="Helv" w:hAnsi="Helv"/>
                <w:b/>
                <w:bCs/>
                <w:sz w:val="21"/>
                <w:szCs w:val="21"/>
              </w:rPr>
            </w:pPr>
            <w:r w:rsidRPr="2A38CFE0">
              <w:rPr>
                <w:rFonts w:ascii="Helv" w:hAnsi="Helv"/>
                <w:b/>
                <w:bCs/>
                <w:sz w:val="21"/>
                <w:szCs w:val="21"/>
              </w:rPr>
              <w:t>7/2</w:t>
            </w:r>
            <w:r w:rsidR="00AD3FBF">
              <w:rPr>
                <w:rFonts w:ascii="Helv" w:hAnsi="Helv"/>
                <w:b/>
                <w:bCs/>
                <w:sz w:val="21"/>
                <w:szCs w:val="21"/>
              </w:rPr>
              <w:t>8</w:t>
            </w:r>
          </w:p>
          <w:p w14:paraId="269B29EC" w14:textId="3AE821BE" w:rsidR="003B4F2B" w:rsidRPr="00563EF0" w:rsidRDefault="003B4F2B" w:rsidP="00CE29BC">
            <w:pPr>
              <w:jc w:val="center"/>
              <w:rPr>
                <w:rFonts w:ascii="Helv" w:hAnsi="Helv"/>
                <w:b/>
                <w:snapToGrid w:val="0"/>
                <w:color w:val="FF0000"/>
                <w:sz w:val="21"/>
                <w:szCs w:val="21"/>
              </w:rPr>
            </w:pPr>
          </w:p>
          <w:p w14:paraId="29A403B3" w14:textId="77777777" w:rsidR="00CE29BC" w:rsidRPr="00563EF0" w:rsidRDefault="00CE29BC" w:rsidP="00CE29BC">
            <w:pPr>
              <w:jc w:val="center"/>
              <w:rPr>
                <w:rFonts w:ascii="Helv" w:hAnsi="Helv"/>
                <w:b/>
                <w:snapToGrid w:val="0"/>
                <w:color w:val="FF0000"/>
                <w:sz w:val="21"/>
              </w:rPr>
            </w:pPr>
          </w:p>
          <w:p w14:paraId="5E232F97" w14:textId="77777777" w:rsidR="00CE29BC" w:rsidRPr="00563EF0" w:rsidRDefault="00CE29BC" w:rsidP="00453525">
            <w:pPr>
              <w:rPr>
                <w:rFonts w:ascii="Helv" w:hAnsi="Helv"/>
                <w:b/>
                <w:snapToGrid w:val="0"/>
                <w:color w:val="FF0000"/>
                <w:sz w:val="21"/>
              </w:rPr>
            </w:pPr>
          </w:p>
          <w:p w14:paraId="06E59F28" w14:textId="77777777" w:rsidR="00CE29BC" w:rsidRPr="00563EF0" w:rsidRDefault="00CE29BC" w:rsidP="00CE29BC">
            <w:pPr>
              <w:jc w:val="center"/>
              <w:rPr>
                <w:rFonts w:ascii="Helv" w:hAnsi="Helv"/>
                <w:b/>
                <w:snapToGrid w:val="0"/>
                <w:color w:val="FF0000"/>
                <w:sz w:val="21"/>
              </w:rPr>
            </w:pPr>
          </w:p>
          <w:p w14:paraId="32177934" w14:textId="77777777" w:rsidR="0077558C" w:rsidRPr="00563EF0" w:rsidRDefault="0077558C" w:rsidP="00553944">
            <w:pPr>
              <w:rPr>
                <w:rFonts w:ascii="Helv" w:hAnsi="Helv"/>
                <w:b/>
                <w:snapToGrid w:val="0"/>
                <w:color w:val="FF0000"/>
                <w:sz w:val="21"/>
              </w:rPr>
            </w:pPr>
          </w:p>
          <w:p w14:paraId="71870F52" w14:textId="49AF8354" w:rsidR="00030EA6" w:rsidRPr="00951793" w:rsidRDefault="00CB242E" w:rsidP="00030EA6">
            <w:pPr>
              <w:jc w:val="center"/>
              <w:rPr>
                <w:rFonts w:ascii="Helv" w:hAnsi="Helv"/>
                <w:b/>
                <w:snapToGrid w:val="0"/>
                <w:sz w:val="21"/>
                <w:szCs w:val="21"/>
              </w:rPr>
            </w:pPr>
            <w:r w:rsidRPr="27196449">
              <w:rPr>
                <w:rFonts w:ascii="Helv" w:hAnsi="Helv"/>
                <w:b/>
                <w:snapToGrid w:val="0"/>
                <w:sz w:val="21"/>
                <w:szCs w:val="21"/>
              </w:rPr>
              <w:t>8/</w:t>
            </w:r>
            <w:r w:rsidR="004F2DF2">
              <w:rPr>
                <w:rFonts w:ascii="Helv" w:hAnsi="Helv"/>
                <w:b/>
                <w:bCs/>
                <w:snapToGrid w:val="0"/>
                <w:sz w:val="21"/>
                <w:szCs w:val="21"/>
              </w:rPr>
              <w:t>4</w:t>
            </w:r>
          </w:p>
          <w:p w14:paraId="65639FFE" w14:textId="77777777" w:rsidR="000D7383" w:rsidRPr="00563EF0" w:rsidRDefault="000D7383" w:rsidP="004560FD">
            <w:pPr>
              <w:jc w:val="center"/>
              <w:rPr>
                <w:rFonts w:ascii="Helv" w:hAnsi="Helv"/>
                <w:b/>
                <w:snapToGrid w:val="0"/>
                <w:color w:val="FF0000"/>
                <w:sz w:val="21"/>
              </w:rPr>
            </w:pPr>
          </w:p>
          <w:p w14:paraId="39FDBFFF" w14:textId="77777777" w:rsidR="000D7383" w:rsidRPr="00563EF0" w:rsidRDefault="000D7383" w:rsidP="004560FD">
            <w:pPr>
              <w:jc w:val="center"/>
              <w:rPr>
                <w:rFonts w:ascii="Helv" w:hAnsi="Helv"/>
                <w:b/>
                <w:snapToGrid w:val="0"/>
                <w:color w:val="FF0000"/>
                <w:sz w:val="21"/>
              </w:rPr>
            </w:pPr>
          </w:p>
          <w:p w14:paraId="56BB629E" w14:textId="77777777" w:rsidR="000D7383" w:rsidRPr="00563EF0" w:rsidRDefault="000D7383" w:rsidP="004560FD">
            <w:pPr>
              <w:jc w:val="center"/>
              <w:rPr>
                <w:rFonts w:ascii="Helv" w:hAnsi="Helv"/>
                <w:b/>
                <w:snapToGrid w:val="0"/>
                <w:color w:val="FF0000"/>
                <w:sz w:val="21"/>
              </w:rPr>
            </w:pPr>
          </w:p>
          <w:p w14:paraId="6DC31E17" w14:textId="77777777" w:rsidR="000D7383" w:rsidRPr="00563EF0" w:rsidRDefault="000D7383" w:rsidP="004560FD">
            <w:pPr>
              <w:jc w:val="center"/>
              <w:rPr>
                <w:rFonts w:ascii="Helv" w:hAnsi="Helv"/>
                <w:b/>
                <w:snapToGrid w:val="0"/>
                <w:color w:val="FF0000"/>
                <w:sz w:val="21"/>
              </w:rPr>
            </w:pPr>
          </w:p>
          <w:p w14:paraId="71663843" w14:textId="77777777" w:rsidR="000D7383" w:rsidRPr="00563EF0" w:rsidRDefault="000D7383" w:rsidP="004560FD">
            <w:pPr>
              <w:jc w:val="center"/>
              <w:rPr>
                <w:rFonts w:ascii="Helv" w:hAnsi="Helv"/>
                <w:b/>
                <w:snapToGrid w:val="0"/>
                <w:color w:val="FF0000"/>
                <w:sz w:val="21"/>
              </w:rPr>
            </w:pPr>
          </w:p>
          <w:p w14:paraId="79894F5B" w14:textId="77777777" w:rsidR="000D7383" w:rsidRPr="00563EF0" w:rsidRDefault="000D7383" w:rsidP="004560FD">
            <w:pPr>
              <w:jc w:val="center"/>
              <w:rPr>
                <w:rFonts w:ascii="Helv" w:hAnsi="Helv"/>
                <w:b/>
                <w:snapToGrid w:val="0"/>
                <w:color w:val="FF0000"/>
                <w:sz w:val="21"/>
              </w:rPr>
            </w:pPr>
          </w:p>
          <w:p w14:paraId="23B6615A" w14:textId="77777777" w:rsidR="000D7383" w:rsidRPr="00563EF0" w:rsidRDefault="000D7383" w:rsidP="004560FD">
            <w:pPr>
              <w:jc w:val="center"/>
              <w:rPr>
                <w:rFonts w:ascii="Helv" w:hAnsi="Helv"/>
                <w:b/>
                <w:snapToGrid w:val="0"/>
                <w:color w:val="FF0000"/>
                <w:sz w:val="21"/>
              </w:rPr>
            </w:pPr>
          </w:p>
          <w:p w14:paraId="3AC38011" w14:textId="77777777" w:rsidR="00853C84" w:rsidRDefault="00853C84" w:rsidP="004560FD">
            <w:pPr>
              <w:jc w:val="center"/>
              <w:rPr>
                <w:rFonts w:ascii="Helv" w:hAnsi="Helv"/>
                <w:b/>
                <w:snapToGrid w:val="0"/>
                <w:sz w:val="21"/>
              </w:rPr>
            </w:pPr>
          </w:p>
          <w:p w14:paraId="1CB5E7A7" w14:textId="77777777" w:rsidR="00F33966" w:rsidRDefault="00F33966" w:rsidP="00453525">
            <w:pPr>
              <w:rPr>
                <w:rFonts w:ascii="Helv" w:hAnsi="Helv"/>
                <w:b/>
                <w:snapToGrid w:val="0"/>
                <w:sz w:val="21"/>
              </w:rPr>
            </w:pPr>
          </w:p>
          <w:p w14:paraId="42D13651" w14:textId="77777777" w:rsidR="00F33966" w:rsidRDefault="00F33966" w:rsidP="004560FD">
            <w:pPr>
              <w:jc w:val="center"/>
              <w:rPr>
                <w:rFonts w:ascii="Helv" w:hAnsi="Helv"/>
                <w:b/>
                <w:snapToGrid w:val="0"/>
                <w:sz w:val="21"/>
              </w:rPr>
            </w:pPr>
          </w:p>
          <w:p w14:paraId="4928A6AD" w14:textId="63DF125A" w:rsidR="00EB1FA3" w:rsidRPr="00951793" w:rsidRDefault="00EB1FA3" w:rsidP="00EB1FA3">
            <w:pPr>
              <w:jc w:val="center"/>
              <w:rPr>
                <w:rFonts w:ascii="Helv" w:hAnsi="Helv"/>
                <w:b/>
                <w:snapToGrid w:val="0"/>
                <w:sz w:val="21"/>
                <w:szCs w:val="21"/>
              </w:rPr>
            </w:pPr>
            <w:r w:rsidRPr="27196449">
              <w:rPr>
                <w:rFonts w:ascii="Helv" w:hAnsi="Helv"/>
                <w:b/>
                <w:snapToGrid w:val="0"/>
                <w:sz w:val="21"/>
                <w:szCs w:val="21"/>
              </w:rPr>
              <w:t>8/</w:t>
            </w:r>
            <w:r w:rsidR="004F2DF2">
              <w:rPr>
                <w:rFonts w:ascii="Helv" w:hAnsi="Helv"/>
                <w:b/>
                <w:snapToGrid w:val="0"/>
                <w:sz w:val="21"/>
                <w:szCs w:val="21"/>
              </w:rPr>
              <w:t>4</w:t>
            </w:r>
          </w:p>
          <w:p w14:paraId="378F13A3" w14:textId="77777777" w:rsidR="00F33966" w:rsidRPr="00563EF0" w:rsidRDefault="00F33966" w:rsidP="004560FD">
            <w:pPr>
              <w:jc w:val="center"/>
              <w:rPr>
                <w:rFonts w:ascii="Helv" w:hAnsi="Helv"/>
                <w:b/>
                <w:snapToGrid w:val="0"/>
                <w:color w:val="FF0000"/>
                <w:sz w:val="21"/>
              </w:rPr>
            </w:pPr>
          </w:p>
          <w:p w14:paraId="06F1376C" w14:textId="77777777" w:rsidR="00F33966" w:rsidRPr="00563EF0" w:rsidRDefault="00F33966" w:rsidP="004560FD">
            <w:pPr>
              <w:jc w:val="center"/>
              <w:rPr>
                <w:rFonts w:ascii="Helv" w:hAnsi="Helv"/>
                <w:b/>
                <w:snapToGrid w:val="0"/>
                <w:color w:val="FF0000"/>
                <w:sz w:val="21"/>
              </w:rPr>
            </w:pPr>
          </w:p>
          <w:p w14:paraId="6EE7F097" w14:textId="77777777" w:rsidR="00324002" w:rsidRPr="00563EF0" w:rsidRDefault="00324002" w:rsidP="004560FD">
            <w:pPr>
              <w:jc w:val="center"/>
              <w:rPr>
                <w:rFonts w:ascii="Helv" w:hAnsi="Helv"/>
                <w:b/>
                <w:snapToGrid w:val="0"/>
                <w:color w:val="FF0000"/>
                <w:sz w:val="21"/>
              </w:rPr>
            </w:pPr>
          </w:p>
          <w:p w14:paraId="5305C033" w14:textId="77777777" w:rsidR="00DB60DC" w:rsidRPr="00563EF0" w:rsidRDefault="00DB60DC" w:rsidP="00030EA6">
            <w:pPr>
              <w:jc w:val="center"/>
              <w:rPr>
                <w:rFonts w:ascii="Helv" w:hAnsi="Helv"/>
                <w:b/>
                <w:snapToGrid w:val="0"/>
                <w:color w:val="FF0000"/>
                <w:sz w:val="21"/>
              </w:rPr>
            </w:pPr>
          </w:p>
          <w:p w14:paraId="1EAB3B5F" w14:textId="77777777" w:rsidR="00DB60DC" w:rsidRPr="00563EF0" w:rsidRDefault="00DB60DC" w:rsidP="00030EA6">
            <w:pPr>
              <w:jc w:val="center"/>
              <w:rPr>
                <w:rFonts w:ascii="Helv" w:hAnsi="Helv"/>
                <w:b/>
                <w:snapToGrid w:val="0"/>
                <w:color w:val="FF0000"/>
                <w:sz w:val="21"/>
              </w:rPr>
            </w:pPr>
          </w:p>
          <w:p w14:paraId="2A1172FF" w14:textId="77777777" w:rsidR="00DB60DC" w:rsidRDefault="00DB60DC" w:rsidP="00030EA6">
            <w:pPr>
              <w:jc w:val="center"/>
              <w:rPr>
                <w:rFonts w:ascii="Helv" w:hAnsi="Helv"/>
                <w:b/>
                <w:snapToGrid w:val="0"/>
                <w:color w:val="FF0000"/>
                <w:sz w:val="21"/>
              </w:rPr>
            </w:pPr>
          </w:p>
          <w:p w14:paraId="7D929BCC" w14:textId="77777777" w:rsidR="00E23665" w:rsidRDefault="00E23665" w:rsidP="00030EA6">
            <w:pPr>
              <w:jc w:val="center"/>
              <w:rPr>
                <w:rFonts w:ascii="Helv" w:hAnsi="Helv"/>
                <w:b/>
                <w:snapToGrid w:val="0"/>
                <w:color w:val="FF0000"/>
                <w:sz w:val="21"/>
              </w:rPr>
            </w:pPr>
          </w:p>
          <w:p w14:paraId="3F55BB46" w14:textId="77777777" w:rsidR="00FC1F94" w:rsidRPr="00563EF0" w:rsidRDefault="00FC1F94" w:rsidP="00030EA6">
            <w:pPr>
              <w:jc w:val="center"/>
              <w:rPr>
                <w:rFonts w:ascii="Helv" w:hAnsi="Helv"/>
                <w:b/>
                <w:snapToGrid w:val="0"/>
                <w:color w:val="FF0000"/>
                <w:sz w:val="21"/>
              </w:rPr>
            </w:pPr>
          </w:p>
          <w:p w14:paraId="7A755F0C" w14:textId="77777777" w:rsidR="00DB60DC" w:rsidRPr="00563EF0" w:rsidRDefault="00DB60DC" w:rsidP="00030EA6">
            <w:pPr>
              <w:jc w:val="center"/>
              <w:rPr>
                <w:rFonts w:ascii="Helv" w:hAnsi="Helv"/>
                <w:b/>
                <w:snapToGrid w:val="0"/>
                <w:color w:val="FF0000"/>
                <w:sz w:val="21"/>
              </w:rPr>
            </w:pPr>
          </w:p>
          <w:p w14:paraId="03CC5B54" w14:textId="77777777" w:rsidR="00DB60DC" w:rsidRPr="00563EF0" w:rsidRDefault="00DB60DC" w:rsidP="00030EA6">
            <w:pPr>
              <w:jc w:val="center"/>
              <w:rPr>
                <w:rFonts w:ascii="Helv" w:hAnsi="Helv"/>
                <w:b/>
                <w:snapToGrid w:val="0"/>
                <w:color w:val="FF0000"/>
                <w:sz w:val="21"/>
              </w:rPr>
            </w:pPr>
          </w:p>
          <w:p w14:paraId="09F48BA1" w14:textId="77302CF8" w:rsidR="00616A5E" w:rsidRPr="0018607C" w:rsidRDefault="00616A5E" w:rsidP="00616A5E">
            <w:pPr>
              <w:jc w:val="center"/>
              <w:rPr>
                <w:rFonts w:ascii="Helv" w:hAnsi="Helv"/>
                <w:b/>
                <w:snapToGrid w:val="0"/>
                <w:sz w:val="21"/>
              </w:rPr>
            </w:pPr>
            <w:r w:rsidRPr="00997D80">
              <w:rPr>
                <w:rFonts w:ascii="Helv" w:hAnsi="Helv"/>
                <w:b/>
                <w:snapToGrid w:val="0"/>
                <w:sz w:val="21"/>
              </w:rPr>
              <w:t>7/1</w:t>
            </w:r>
            <w:r w:rsidR="00C95A99">
              <w:rPr>
                <w:rFonts w:ascii="Helv" w:hAnsi="Helv"/>
                <w:b/>
                <w:snapToGrid w:val="0"/>
                <w:sz w:val="21"/>
              </w:rPr>
              <w:t>7</w:t>
            </w:r>
          </w:p>
          <w:p w14:paraId="51D864AE" w14:textId="77777777" w:rsidR="00E03462" w:rsidRPr="00563EF0" w:rsidRDefault="00E03462" w:rsidP="00030EA6">
            <w:pPr>
              <w:jc w:val="center"/>
              <w:rPr>
                <w:rFonts w:ascii="Helv" w:hAnsi="Helv"/>
                <w:b/>
                <w:snapToGrid w:val="0"/>
                <w:color w:val="FF0000"/>
                <w:sz w:val="21"/>
              </w:rPr>
            </w:pPr>
          </w:p>
          <w:p w14:paraId="00A9D237" w14:textId="4C7B3306" w:rsidR="00616A5E" w:rsidRPr="00951793" w:rsidRDefault="00616A5E" w:rsidP="00616A5E">
            <w:pPr>
              <w:jc w:val="center"/>
              <w:rPr>
                <w:rFonts w:ascii="Helv" w:hAnsi="Helv"/>
                <w:b/>
                <w:snapToGrid w:val="0"/>
                <w:sz w:val="21"/>
              </w:rPr>
            </w:pPr>
            <w:r w:rsidRPr="00951793">
              <w:rPr>
                <w:rFonts w:ascii="Helv" w:hAnsi="Helv"/>
                <w:b/>
                <w:snapToGrid w:val="0"/>
                <w:sz w:val="21"/>
              </w:rPr>
              <w:t>8/</w:t>
            </w:r>
            <w:r w:rsidR="00780B44">
              <w:rPr>
                <w:rFonts w:ascii="Helv" w:hAnsi="Helv"/>
                <w:b/>
                <w:snapToGrid w:val="0"/>
                <w:sz w:val="21"/>
              </w:rPr>
              <w:t>1</w:t>
            </w:r>
          </w:p>
          <w:p w14:paraId="210DC71C" w14:textId="1FFB194A" w:rsidR="00616A5E" w:rsidRPr="00951793" w:rsidRDefault="00616A5E" w:rsidP="00616A5E">
            <w:pPr>
              <w:jc w:val="center"/>
              <w:rPr>
                <w:rFonts w:ascii="Helv" w:hAnsi="Helv"/>
                <w:b/>
                <w:snapToGrid w:val="0"/>
                <w:sz w:val="21"/>
                <w:szCs w:val="21"/>
              </w:rPr>
            </w:pPr>
            <w:r w:rsidRPr="27196449">
              <w:rPr>
                <w:rFonts w:ascii="Helv" w:hAnsi="Helv"/>
                <w:b/>
                <w:snapToGrid w:val="0"/>
                <w:sz w:val="21"/>
                <w:szCs w:val="21"/>
              </w:rPr>
              <w:t>8/</w:t>
            </w:r>
            <w:r w:rsidR="006868D0">
              <w:rPr>
                <w:rFonts w:ascii="Helv" w:hAnsi="Helv"/>
                <w:b/>
                <w:snapToGrid w:val="0"/>
                <w:sz w:val="21"/>
                <w:szCs w:val="21"/>
              </w:rPr>
              <w:t>4</w:t>
            </w:r>
          </w:p>
          <w:p w14:paraId="60D0793F" w14:textId="77777777" w:rsidR="00030EA6" w:rsidRPr="00563EF0" w:rsidRDefault="00030EA6" w:rsidP="00E03462">
            <w:pPr>
              <w:rPr>
                <w:rFonts w:ascii="Helv" w:hAnsi="Helv"/>
                <w:b/>
                <w:snapToGrid w:val="0"/>
                <w:color w:val="FF0000"/>
                <w:sz w:val="21"/>
              </w:rPr>
            </w:pPr>
          </w:p>
          <w:p w14:paraId="2BF28508" w14:textId="74A8CFB5" w:rsidR="004560FD" w:rsidRPr="00563EF0" w:rsidRDefault="004560FD" w:rsidP="27196449">
            <w:pPr>
              <w:rPr>
                <w:rFonts w:ascii="Helv" w:hAnsi="Helv"/>
                <w:b/>
                <w:bCs/>
                <w:color w:val="FF0000"/>
                <w:sz w:val="21"/>
                <w:szCs w:val="21"/>
              </w:rPr>
            </w:pPr>
          </w:p>
          <w:p w14:paraId="593E72F4" w14:textId="7568E17F" w:rsidR="004560FD" w:rsidRPr="00563EF0" w:rsidRDefault="004560FD" w:rsidP="27196449">
            <w:pPr>
              <w:rPr>
                <w:rFonts w:ascii="Helv" w:hAnsi="Helv"/>
                <w:b/>
                <w:bCs/>
                <w:color w:val="FF0000"/>
                <w:sz w:val="21"/>
                <w:szCs w:val="21"/>
              </w:rPr>
            </w:pPr>
          </w:p>
          <w:p w14:paraId="1D37C078" w14:textId="7F0D6FB8" w:rsidR="004560FD" w:rsidRPr="00563EF0" w:rsidRDefault="004560FD" w:rsidP="27196449">
            <w:pPr>
              <w:rPr>
                <w:rFonts w:ascii="Helv" w:hAnsi="Helv"/>
                <w:b/>
                <w:bCs/>
                <w:color w:val="FF0000"/>
                <w:sz w:val="21"/>
                <w:szCs w:val="21"/>
              </w:rPr>
            </w:pPr>
          </w:p>
          <w:p w14:paraId="1EF21EDF" w14:textId="1D6C983B" w:rsidR="004560FD" w:rsidRPr="00563EF0" w:rsidRDefault="004560FD" w:rsidP="27196449">
            <w:pPr>
              <w:rPr>
                <w:rFonts w:ascii="Helv" w:hAnsi="Helv"/>
                <w:b/>
                <w:bCs/>
                <w:color w:val="FF0000"/>
                <w:sz w:val="21"/>
                <w:szCs w:val="21"/>
              </w:rPr>
            </w:pPr>
          </w:p>
          <w:p w14:paraId="515B6F3D" w14:textId="678D04D2" w:rsidR="004560FD" w:rsidRPr="00563EF0" w:rsidRDefault="2E2EFF24" w:rsidP="27196449">
            <w:pPr>
              <w:jc w:val="center"/>
              <w:rPr>
                <w:rFonts w:ascii="Helv" w:hAnsi="Helv"/>
                <w:b/>
                <w:bCs/>
                <w:sz w:val="21"/>
                <w:szCs w:val="21"/>
              </w:rPr>
            </w:pPr>
            <w:r w:rsidRPr="27196449">
              <w:rPr>
                <w:rFonts w:ascii="Helv" w:hAnsi="Helv"/>
                <w:b/>
                <w:bCs/>
                <w:sz w:val="21"/>
                <w:szCs w:val="21"/>
              </w:rPr>
              <w:t>8/</w:t>
            </w:r>
            <w:r w:rsidR="10E06299" w:rsidRPr="27196449">
              <w:rPr>
                <w:rFonts w:ascii="Helv" w:hAnsi="Helv"/>
                <w:b/>
                <w:bCs/>
                <w:sz w:val="21"/>
                <w:szCs w:val="21"/>
              </w:rPr>
              <w:t>5</w:t>
            </w:r>
          </w:p>
          <w:p w14:paraId="1A29816D" w14:textId="52C8B9A5" w:rsidR="004560FD" w:rsidRPr="00563EF0" w:rsidRDefault="004560FD" w:rsidP="00616A5E">
            <w:pPr>
              <w:rPr>
                <w:rFonts w:ascii="Helv" w:hAnsi="Helv"/>
                <w:b/>
                <w:snapToGrid w:val="0"/>
                <w:color w:val="FF0000"/>
                <w:sz w:val="21"/>
                <w:szCs w:val="21"/>
              </w:rPr>
            </w:pPr>
          </w:p>
        </w:tc>
      </w:tr>
      <w:tr w:rsidR="00720E5A" w14:paraId="332FB0D9" w14:textId="77777777" w:rsidTr="0AB179E6">
        <w:trPr>
          <w:trHeight w:val="268"/>
        </w:trPr>
        <w:tc>
          <w:tcPr>
            <w:tcW w:w="565" w:type="dxa"/>
            <w:tcBorders>
              <w:left w:val="single" w:sz="6" w:space="0" w:color="auto"/>
            </w:tcBorders>
          </w:tcPr>
          <w:p w14:paraId="33C7C16D" w14:textId="77777777" w:rsidR="00720E5A" w:rsidRDefault="00720E5A" w:rsidP="000119BA">
            <w:pPr>
              <w:jc w:val="right"/>
              <w:rPr>
                <w:rFonts w:ascii="Helv" w:hAnsi="Helv"/>
                <w:snapToGrid w:val="0"/>
                <w:color w:val="000000"/>
                <w:sz w:val="21"/>
              </w:rPr>
            </w:pPr>
          </w:p>
        </w:tc>
        <w:tc>
          <w:tcPr>
            <w:tcW w:w="199" w:type="dxa"/>
          </w:tcPr>
          <w:p w14:paraId="11544339" w14:textId="525D3FC8" w:rsidR="00720E5A" w:rsidRDefault="00720E5A" w:rsidP="000119BA">
            <w:pPr>
              <w:rPr>
                <w:rFonts w:ascii="Helv" w:hAnsi="Helv"/>
                <w:snapToGrid w:val="0"/>
                <w:color w:val="000000"/>
                <w:sz w:val="21"/>
              </w:rPr>
            </w:pPr>
          </w:p>
        </w:tc>
        <w:tc>
          <w:tcPr>
            <w:tcW w:w="7626" w:type="dxa"/>
            <w:gridSpan w:val="4"/>
          </w:tcPr>
          <w:p w14:paraId="68A3A644" w14:textId="4F90246D" w:rsidR="00720E5A" w:rsidRDefault="00121832" w:rsidP="000119BA">
            <w:pPr>
              <w:rPr>
                <w:rFonts w:ascii="Helv" w:hAnsi="Helv"/>
                <w:snapToGrid w:val="0"/>
                <w:color w:val="000000"/>
                <w:sz w:val="21"/>
              </w:rPr>
            </w:pPr>
            <w:r>
              <w:rPr>
                <w:rFonts w:ascii="Helv" w:hAnsi="Helv"/>
                <w:b/>
                <w:bCs/>
                <w:snapToGrid w:val="0"/>
                <w:color w:val="000000"/>
                <w:sz w:val="21"/>
              </w:rPr>
              <w:t xml:space="preserve">    </w:t>
            </w:r>
            <w:r w:rsidR="00720E5A" w:rsidRPr="00121832">
              <w:rPr>
                <w:rFonts w:ascii="Helv" w:hAnsi="Helv"/>
                <w:b/>
                <w:bCs/>
                <w:snapToGrid w:val="0"/>
                <w:color w:val="000000"/>
                <w:sz w:val="21"/>
              </w:rPr>
              <w:t>GASB REPORTS</w:t>
            </w:r>
            <w:r w:rsidR="00720E5A">
              <w:rPr>
                <w:rFonts w:ascii="Helv" w:hAnsi="Helv"/>
                <w:snapToGrid w:val="0"/>
                <w:color w:val="000000"/>
                <w:sz w:val="21"/>
              </w:rPr>
              <w:t>:</w:t>
            </w:r>
          </w:p>
        </w:tc>
        <w:tc>
          <w:tcPr>
            <w:tcW w:w="1486" w:type="dxa"/>
            <w:gridSpan w:val="2"/>
            <w:tcBorders>
              <w:left w:val="single" w:sz="6" w:space="0" w:color="auto"/>
              <w:right w:val="single" w:sz="6" w:space="0" w:color="auto"/>
            </w:tcBorders>
          </w:tcPr>
          <w:p w14:paraId="692E6042" w14:textId="77777777" w:rsidR="00720E5A" w:rsidRDefault="00720E5A" w:rsidP="00616A5E">
            <w:pPr>
              <w:rPr>
                <w:rFonts w:ascii="Helv" w:hAnsi="Helv"/>
                <w:snapToGrid w:val="0"/>
                <w:color w:val="000000"/>
                <w:sz w:val="21"/>
              </w:rPr>
            </w:pPr>
          </w:p>
        </w:tc>
      </w:tr>
      <w:tr w:rsidR="00720E5A" w14:paraId="606BBCAB" w14:textId="77777777" w:rsidTr="0AB179E6">
        <w:trPr>
          <w:trHeight w:val="268"/>
        </w:trPr>
        <w:tc>
          <w:tcPr>
            <w:tcW w:w="565" w:type="dxa"/>
            <w:tcBorders>
              <w:left w:val="single" w:sz="6" w:space="0" w:color="auto"/>
            </w:tcBorders>
          </w:tcPr>
          <w:p w14:paraId="47A04BC0" w14:textId="77777777" w:rsidR="00720E5A" w:rsidRDefault="00720E5A" w:rsidP="000119BA">
            <w:pPr>
              <w:jc w:val="right"/>
              <w:rPr>
                <w:rFonts w:ascii="Helv" w:hAnsi="Helv"/>
                <w:snapToGrid w:val="0"/>
                <w:color w:val="000000"/>
                <w:sz w:val="21"/>
              </w:rPr>
            </w:pPr>
          </w:p>
        </w:tc>
        <w:tc>
          <w:tcPr>
            <w:tcW w:w="199" w:type="dxa"/>
          </w:tcPr>
          <w:p w14:paraId="6B86D333" w14:textId="77777777" w:rsidR="00720E5A" w:rsidRDefault="00720E5A" w:rsidP="000119BA">
            <w:pPr>
              <w:jc w:val="right"/>
              <w:rPr>
                <w:rFonts w:ascii="Helv" w:hAnsi="Helv"/>
                <w:snapToGrid w:val="0"/>
                <w:color w:val="000000"/>
                <w:sz w:val="21"/>
              </w:rPr>
            </w:pPr>
          </w:p>
        </w:tc>
        <w:tc>
          <w:tcPr>
            <w:tcW w:w="331" w:type="dxa"/>
          </w:tcPr>
          <w:p w14:paraId="2E612C30" w14:textId="2111507E" w:rsidR="00720E5A" w:rsidRDefault="00720E5A" w:rsidP="000119BA">
            <w:pPr>
              <w:rPr>
                <w:rFonts w:ascii="Helv" w:hAnsi="Helv"/>
                <w:snapToGrid w:val="0"/>
                <w:color w:val="000000"/>
                <w:sz w:val="21"/>
              </w:rPr>
            </w:pPr>
          </w:p>
        </w:tc>
        <w:tc>
          <w:tcPr>
            <w:tcW w:w="7295" w:type="dxa"/>
            <w:gridSpan w:val="3"/>
          </w:tcPr>
          <w:p w14:paraId="60E8ED33" w14:textId="198DFDCA" w:rsidR="00720E5A" w:rsidRDefault="00EF0EA2" w:rsidP="000119BA">
            <w:pPr>
              <w:rPr>
                <w:rFonts w:ascii="Helv" w:hAnsi="Helv"/>
                <w:snapToGrid w:val="0"/>
                <w:color w:val="000000"/>
                <w:sz w:val="21"/>
              </w:rPr>
            </w:pPr>
            <w:r>
              <w:rPr>
                <w:rFonts w:ascii="Helv" w:hAnsi="Helv"/>
                <w:snapToGrid w:val="0"/>
                <w:color w:val="000000"/>
                <w:sz w:val="21"/>
              </w:rPr>
              <w:t>-</w:t>
            </w:r>
            <w:r w:rsidR="00720E5A">
              <w:rPr>
                <w:rFonts w:ascii="Helv" w:hAnsi="Helv"/>
                <w:snapToGrid w:val="0"/>
                <w:color w:val="000000"/>
                <w:sz w:val="21"/>
              </w:rPr>
              <w:t>Review 6/30 GASB Trial Balances for completion and correctness</w:t>
            </w:r>
          </w:p>
        </w:tc>
        <w:tc>
          <w:tcPr>
            <w:tcW w:w="1486" w:type="dxa"/>
            <w:gridSpan w:val="2"/>
            <w:tcBorders>
              <w:left w:val="single" w:sz="6" w:space="0" w:color="auto"/>
              <w:right w:val="single" w:sz="6" w:space="0" w:color="auto"/>
            </w:tcBorders>
          </w:tcPr>
          <w:p w14:paraId="62E0AD78" w14:textId="7B2529F0" w:rsidR="00720E5A" w:rsidRPr="002C1B77" w:rsidRDefault="00720E5A" w:rsidP="00550C19">
            <w:pPr>
              <w:jc w:val="center"/>
              <w:rPr>
                <w:rFonts w:ascii="Helv" w:hAnsi="Helv"/>
                <w:b/>
                <w:snapToGrid w:val="0"/>
                <w:color w:val="000000"/>
                <w:sz w:val="21"/>
                <w:szCs w:val="21"/>
              </w:rPr>
            </w:pPr>
            <w:r w:rsidRPr="27196449">
              <w:rPr>
                <w:rFonts w:ascii="Helv" w:hAnsi="Helv"/>
                <w:b/>
                <w:snapToGrid w:val="0"/>
                <w:color w:val="000000"/>
                <w:sz w:val="21"/>
                <w:szCs w:val="21"/>
              </w:rPr>
              <w:t>8/</w:t>
            </w:r>
            <w:r w:rsidR="785F3CF7" w:rsidRPr="27196449">
              <w:rPr>
                <w:rFonts w:ascii="Helv" w:hAnsi="Helv"/>
                <w:b/>
                <w:bCs/>
                <w:snapToGrid w:val="0"/>
                <w:color w:val="000000"/>
                <w:sz w:val="21"/>
                <w:szCs w:val="21"/>
              </w:rPr>
              <w:t>12</w:t>
            </w:r>
          </w:p>
        </w:tc>
      </w:tr>
      <w:tr w:rsidR="00720E5A" w14:paraId="31BC14E7" w14:textId="77777777" w:rsidTr="0AB179E6">
        <w:trPr>
          <w:trHeight w:val="268"/>
        </w:trPr>
        <w:tc>
          <w:tcPr>
            <w:tcW w:w="565" w:type="dxa"/>
            <w:tcBorders>
              <w:left w:val="single" w:sz="6" w:space="0" w:color="auto"/>
            </w:tcBorders>
          </w:tcPr>
          <w:p w14:paraId="2031D16D" w14:textId="77777777" w:rsidR="00720E5A" w:rsidRDefault="00720E5A" w:rsidP="000119BA">
            <w:pPr>
              <w:jc w:val="right"/>
              <w:rPr>
                <w:rFonts w:ascii="Helv" w:hAnsi="Helv"/>
                <w:snapToGrid w:val="0"/>
                <w:color w:val="000000"/>
                <w:sz w:val="21"/>
              </w:rPr>
            </w:pPr>
          </w:p>
        </w:tc>
        <w:tc>
          <w:tcPr>
            <w:tcW w:w="199" w:type="dxa"/>
          </w:tcPr>
          <w:p w14:paraId="323C0C41" w14:textId="77777777" w:rsidR="00720E5A" w:rsidRDefault="00720E5A" w:rsidP="000119BA">
            <w:pPr>
              <w:jc w:val="right"/>
              <w:rPr>
                <w:rFonts w:ascii="Helv" w:hAnsi="Helv"/>
                <w:snapToGrid w:val="0"/>
                <w:color w:val="000000"/>
                <w:sz w:val="21"/>
              </w:rPr>
            </w:pPr>
          </w:p>
        </w:tc>
        <w:tc>
          <w:tcPr>
            <w:tcW w:w="331" w:type="dxa"/>
          </w:tcPr>
          <w:p w14:paraId="44AEE24B" w14:textId="3049C818" w:rsidR="00720E5A" w:rsidRDefault="00720E5A" w:rsidP="000119BA">
            <w:pPr>
              <w:rPr>
                <w:rFonts w:ascii="Helv" w:hAnsi="Helv"/>
                <w:snapToGrid w:val="0"/>
                <w:color w:val="000000"/>
                <w:sz w:val="21"/>
              </w:rPr>
            </w:pPr>
          </w:p>
        </w:tc>
        <w:tc>
          <w:tcPr>
            <w:tcW w:w="7295" w:type="dxa"/>
            <w:gridSpan w:val="3"/>
          </w:tcPr>
          <w:p w14:paraId="042C386F" w14:textId="774DE347" w:rsidR="00720E5A" w:rsidRDefault="00EF0EA2" w:rsidP="000119BA">
            <w:pPr>
              <w:rPr>
                <w:rFonts w:ascii="Helv" w:hAnsi="Helv"/>
                <w:snapToGrid w:val="0"/>
                <w:color w:val="000000"/>
                <w:sz w:val="21"/>
                <w:szCs w:val="21"/>
              </w:rPr>
            </w:pPr>
            <w:r>
              <w:rPr>
                <w:rFonts w:ascii="Helv" w:hAnsi="Helv"/>
                <w:snapToGrid w:val="0"/>
                <w:color w:val="000000"/>
                <w:sz w:val="21"/>
                <w:szCs w:val="21"/>
              </w:rPr>
              <w:t>-</w:t>
            </w:r>
            <w:r w:rsidR="00720E5A" w:rsidRPr="27196449">
              <w:rPr>
                <w:rFonts w:ascii="Helv" w:hAnsi="Helv"/>
                <w:snapToGrid w:val="0"/>
                <w:color w:val="000000"/>
                <w:sz w:val="21"/>
                <w:szCs w:val="21"/>
              </w:rPr>
              <w:t>View NC</w:t>
            </w:r>
            <w:r w:rsidR="56A4E665" w:rsidRPr="27196449">
              <w:rPr>
                <w:rFonts w:ascii="Helv" w:hAnsi="Helv"/>
                <w:snapToGrid w:val="0"/>
                <w:color w:val="000000"/>
                <w:sz w:val="21"/>
                <w:szCs w:val="21"/>
              </w:rPr>
              <w:t>F</w:t>
            </w:r>
            <w:r w:rsidR="00720E5A" w:rsidRPr="27196449">
              <w:rPr>
                <w:rFonts w:ascii="Helv" w:hAnsi="Helv"/>
                <w:snapToGrid w:val="0"/>
                <w:color w:val="000000"/>
                <w:sz w:val="21"/>
                <w:szCs w:val="21"/>
              </w:rPr>
              <w:t xml:space="preserve">S Fin. Statements in </w:t>
            </w:r>
            <w:r w:rsidR="55285BB1" w:rsidRPr="27196449">
              <w:rPr>
                <w:rFonts w:ascii="Helv" w:hAnsi="Helv"/>
                <w:snapToGrid w:val="0"/>
                <w:color w:val="000000"/>
                <w:sz w:val="21"/>
                <w:szCs w:val="21"/>
              </w:rPr>
              <w:t>NCFS</w:t>
            </w:r>
            <w:r w:rsidR="00720E5A" w:rsidRPr="27196449">
              <w:rPr>
                <w:rFonts w:ascii="Helv" w:hAnsi="Helv"/>
                <w:snapToGrid w:val="0"/>
                <w:color w:val="000000"/>
                <w:sz w:val="21"/>
                <w:szCs w:val="21"/>
              </w:rPr>
              <w:t xml:space="preserve"> for completion and correctness</w:t>
            </w:r>
          </w:p>
        </w:tc>
        <w:tc>
          <w:tcPr>
            <w:tcW w:w="1486" w:type="dxa"/>
            <w:gridSpan w:val="2"/>
            <w:tcBorders>
              <w:left w:val="single" w:sz="6" w:space="0" w:color="auto"/>
              <w:right w:val="single" w:sz="6" w:space="0" w:color="auto"/>
            </w:tcBorders>
          </w:tcPr>
          <w:p w14:paraId="2F7D9DFE" w14:textId="02101DD4" w:rsidR="00720E5A" w:rsidRPr="002C1B77" w:rsidRDefault="00720E5A" w:rsidP="000119BA">
            <w:pPr>
              <w:jc w:val="center"/>
              <w:rPr>
                <w:rFonts w:ascii="Helv" w:hAnsi="Helv"/>
                <w:b/>
                <w:snapToGrid w:val="0"/>
                <w:color w:val="000000"/>
                <w:sz w:val="21"/>
                <w:szCs w:val="21"/>
              </w:rPr>
            </w:pPr>
            <w:r w:rsidRPr="27196449">
              <w:rPr>
                <w:rFonts w:ascii="Helv" w:hAnsi="Helv"/>
                <w:b/>
                <w:snapToGrid w:val="0"/>
                <w:color w:val="000000"/>
                <w:sz w:val="21"/>
                <w:szCs w:val="21"/>
              </w:rPr>
              <w:t>8/</w:t>
            </w:r>
            <w:r w:rsidR="623B1580" w:rsidRPr="27196449">
              <w:rPr>
                <w:rFonts w:ascii="Helv" w:hAnsi="Helv"/>
                <w:b/>
                <w:bCs/>
                <w:snapToGrid w:val="0"/>
                <w:color w:val="000000"/>
                <w:sz w:val="21"/>
                <w:szCs w:val="21"/>
              </w:rPr>
              <w:t>12</w:t>
            </w:r>
          </w:p>
          <w:p w14:paraId="0122DE70" w14:textId="77777777" w:rsidR="00CE29BC" w:rsidRPr="002C1B77" w:rsidRDefault="00CE29BC" w:rsidP="000119BA">
            <w:pPr>
              <w:jc w:val="center"/>
              <w:rPr>
                <w:rFonts w:ascii="Helv" w:hAnsi="Helv"/>
                <w:b/>
                <w:snapToGrid w:val="0"/>
                <w:color w:val="000000"/>
                <w:sz w:val="21"/>
              </w:rPr>
            </w:pPr>
          </w:p>
        </w:tc>
      </w:tr>
      <w:tr w:rsidR="00720E5A" w14:paraId="110AA7B5" w14:textId="77777777" w:rsidTr="0AB179E6">
        <w:trPr>
          <w:trHeight w:val="268"/>
        </w:trPr>
        <w:tc>
          <w:tcPr>
            <w:tcW w:w="565" w:type="dxa"/>
            <w:tcBorders>
              <w:left w:val="single" w:sz="6" w:space="0" w:color="auto"/>
            </w:tcBorders>
          </w:tcPr>
          <w:p w14:paraId="177AADD3" w14:textId="77777777" w:rsidR="00720E5A" w:rsidRDefault="00720E5A" w:rsidP="00833F99">
            <w:pPr>
              <w:rPr>
                <w:rFonts w:ascii="Helv" w:hAnsi="Helv"/>
                <w:snapToGrid w:val="0"/>
                <w:color w:val="000000"/>
                <w:sz w:val="21"/>
              </w:rPr>
            </w:pPr>
          </w:p>
        </w:tc>
        <w:tc>
          <w:tcPr>
            <w:tcW w:w="199" w:type="dxa"/>
          </w:tcPr>
          <w:p w14:paraId="586B36B4" w14:textId="77777777" w:rsidR="00720E5A" w:rsidRDefault="00720E5A" w:rsidP="000119BA">
            <w:pPr>
              <w:jc w:val="right"/>
              <w:rPr>
                <w:rFonts w:ascii="Helv" w:hAnsi="Helv"/>
                <w:snapToGrid w:val="0"/>
                <w:color w:val="000000"/>
                <w:sz w:val="21"/>
              </w:rPr>
            </w:pPr>
          </w:p>
        </w:tc>
        <w:tc>
          <w:tcPr>
            <w:tcW w:w="331" w:type="dxa"/>
          </w:tcPr>
          <w:p w14:paraId="241E7EAE" w14:textId="77777777" w:rsidR="00720E5A" w:rsidRDefault="00720E5A" w:rsidP="000119BA">
            <w:pPr>
              <w:jc w:val="right"/>
              <w:rPr>
                <w:rFonts w:ascii="Helv" w:hAnsi="Helv"/>
                <w:snapToGrid w:val="0"/>
                <w:color w:val="000000"/>
                <w:sz w:val="21"/>
              </w:rPr>
            </w:pPr>
          </w:p>
        </w:tc>
        <w:tc>
          <w:tcPr>
            <w:tcW w:w="453" w:type="dxa"/>
          </w:tcPr>
          <w:p w14:paraId="40EEAEEE" w14:textId="77777777" w:rsidR="00720E5A" w:rsidRDefault="00720E5A" w:rsidP="000119BA">
            <w:pPr>
              <w:jc w:val="right"/>
              <w:rPr>
                <w:rFonts w:ascii="Helv" w:hAnsi="Helv"/>
                <w:snapToGrid w:val="0"/>
                <w:color w:val="000000"/>
                <w:sz w:val="21"/>
              </w:rPr>
            </w:pPr>
          </w:p>
        </w:tc>
        <w:tc>
          <w:tcPr>
            <w:tcW w:w="6842" w:type="dxa"/>
            <w:gridSpan w:val="2"/>
          </w:tcPr>
          <w:p w14:paraId="1FB9B282" w14:textId="77777777" w:rsidR="00720E5A" w:rsidRDefault="00720E5A" w:rsidP="00833F99">
            <w:pPr>
              <w:rPr>
                <w:rFonts w:ascii="Helv" w:hAnsi="Helv"/>
                <w:snapToGrid w:val="0"/>
                <w:color w:val="000000"/>
                <w:sz w:val="21"/>
              </w:rPr>
            </w:pPr>
          </w:p>
        </w:tc>
        <w:tc>
          <w:tcPr>
            <w:tcW w:w="1486" w:type="dxa"/>
            <w:gridSpan w:val="2"/>
            <w:tcBorders>
              <w:top w:val="single" w:sz="4" w:space="0" w:color="auto"/>
              <w:left w:val="single" w:sz="6" w:space="0" w:color="auto"/>
              <w:right w:val="single" w:sz="6" w:space="0" w:color="auto"/>
            </w:tcBorders>
          </w:tcPr>
          <w:p w14:paraId="3201FB18" w14:textId="77777777" w:rsidR="00720E5A" w:rsidRDefault="00720E5A" w:rsidP="000119BA">
            <w:pPr>
              <w:jc w:val="center"/>
              <w:rPr>
                <w:rFonts w:ascii="Helv" w:hAnsi="Helv"/>
                <w:snapToGrid w:val="0"/>
                <w:color w:val="000000"/>
                <w:sz w:val="21"/>
              </w:rPr>
            </w:pPr>
          </w:p>
        </w:tc>
      </w:tr>
      <w:tr w:rsidR="00720E5A" w14:paraId="41CBF8B8" w14:textId="77777777" w:rsidTr="0AB179E6">
        <w:trPr>
          <w:trHeight w:val="268"/>
        </w:trPr>
        <w:tc>
          <w:tcPr>
            <w:tcW w:w="565" w:type="dxa"/>
            <w:tcBorders>
              <w:left w:val="single" w:sz="6" w:space="0" w:color="auto"/>
            </w:tcBorders>
          </w:tcPr>
          <w:p w14:paraId="60D07204" w14:textId="77777777" w:rsidR="00720E5A" w:rsidRDefault="00720E5A" w:rsidP="000119BA">
            <w:pPr>
              <w:rPr>
                <w:rFonts w:ascii="Helv" w:hAnsi="Helv"/>
                <w:snapToGrid w:val="0"/>
                <w:color w:val="000000"/>
                <w:sz w:val="21"/>
              </w:rPr>
            </w:pPr>
            <w:r>
              <w:rPr>
                <w:rFonts w:ascii="Helv" w:hAnsi="Helv"/>
                <w:snapToGrid w:val="0"/>
                <w:color w:val="000000"/>
                <w:sz w:val="21"/>
              </w:rPr>
              <w:t>III.</w:t>
            </w:r>
          </w:p>
        </w:tc>
        <w:tc>
          <w:tcPr>
            <w:tcW w:w="199" w:type="dxa"/>
          </w:tcPr>
          <w:p w14:paraId="37B2E430" w14:textId="77777777" w:rsidR="00720E5A" w:rsidRDefault="00720E5A" w:rsidP="000119BA">
            <w:pPr>
              <w:rPr>
                <w:rFonts w:ascii="Helv" w:hAnsi="Helv"/>
                <w:snapToGrid w:val="0"/>
                <w:color w:val="000000"/>
                <w:sz w:val="21"/>
              </w:rPr>
            </w:pPr>
          </w:p>
        </w:tc>
        <w:tc>
          <w:tcPr>
            <w:tcW w:w="7626" w:type="dxa"/>
            <w:gridSpan w:val="4"/>
          </w:tcPr>
          <w:p w14:paraId="64E8CC05" w14:textId="77777777" w:rsidR="00720E5A" w:rsidRDefault="00720E5A" w:rsidP="000119BA">
            <w:pPr>
              <w:rPr>
                <w:rFonts w:ascii="Helv" w:hAnsi="Helv"/>
                <w:snapToGrid w:val="0"/>
                <w:color w:val="000000"/>
                <w:sz w:val="21"/>
              </w:rPr>
            </w:pPr>
            <w:r>
              <w:rPr>
                <w:rFonts w:ascii="Helv" w:hAnsi="Helv"/>
                <w:snapToGrid w:val="0"/>
                <w:color w:val="000000"/>
                <w:sz w:val="21"/>
              </w:rPr>
              <w:t xml:space="preserve">PREPARE YEAR-END CLOSE PACKAGE </w:t>
            </w:r>
          </w:p>
        </w:tc>
        <w:tc>
          <w:tcPr>
            <w:tcW w:w="1486" w:type="dxa"/>
            <w:gridSpan w:val="2"/>
            <w:tcBorders>
              <w:left w:val="single" w:sz="6" w:space="0" w:color="auto"/>
              <w:right w:val="single" w:sz="6" w:space="0" w:color="auto"/>
            </w:tcBorders>
          </w:tcPr>
          <w:p w14:paraId="51E7B9B3" w14:textId="77777777" w:rsidR="00720E5A" w:rsidRPr="002C1B77" w:rsidRDefault="00720E5A" w:rsidP="004374CF">
            <w:pPr>
              <w:rPr>
                <w:rFonts w:ascii="Helv" w:hAnsi="Helv"/>
                <w:b/>
                <w:snapToGrid w:val="0"/>
                <w:color w:val="000000"/>
                <w:sz w:val="21"/>
              </w:rPr>
            </w:pPr>
          </w:p>
        </w:tc>
      </w:tr>
      <w:tr w:rsidR="00720E5A" w14:paraId="44B2E961" w14:textId="77777777" w:rsidTr="0AB179E6">
        <w:trPr>
          <w:trHeight w:val="268"/>
        </w:trPr>
        <w:tc>
          <w:tcPr>
            <w:tcW w:w="565" w:type="dxa"/>
            <w:tcBorders>
              <w:left w:val="single" w:sz="6" w:space="0" w:color="auto"/>
            </w:tcBorders>
          </w:tcPr>
          <w:p w14:paraId="49118BE0" w14:textId="77777777" w:rsidR="00720E5A" w:rsidRDefault="00720E5A" w:rsidP="000119BA">
            <w:pPr>
              <w:jc w:val="right"/>
              <w:rPr>
                <w:rFonts w:ascii="Helv" w:hAnsi="Helv"/>
                <w:snapToGrid w:val="0"/>
                <w:color w:val="000000"/>
                <w:sz w:val="21"/>
              </w:rPr>
            </w:pPr>
          </w:p>
        </w:tc>
        <w:tc>
          <w:tcPr>
            <w:tcW w:w="199" w:type="dxa"/>
          </w:tcPr>
          <w:p w14:paraId="412FF2D5" w14:textId="77777777" w:rsidR="00720E5A" w:rsidRDefault="00720E5A" w:rsidP="0081043F">
            <w:pPr>
              <w:rPr>
                <w:rFonts w:ascii="Helv" w:hAnsi="Helv"/>
                <w:snapToGrid w:val="0"/>
                <w:color w:val="000000"/>
                <w:sz w:val="21"/>
              </w:rPr>
            </w:pPr>
          </w:p>
        </w:tc>
        <w:tc>
          <w:tcPr>
            <w:tcW w:w="331" w:type="dxa"/>
          </w:tcPr>
          <w:p w14:paraId="6783A2C7" w14:textId="77777777" w:rsidR="00720E5A" w:rsidRDefault="00720E5A" w:rsidP="000119BA">
            <w:pPr>
              <w:jc w:val="right"/>
              <w:rPr>
                <w:rFonts w:ascii="Helv" w:hAnsi="Helv"/>
                <w:snapToGrid w:val="0"/>
                <w:color w:val="000000"/>
                <w:sz w:val="21"/>
              </w:rPr>
            </w:pPr>
          </w:p>
        </w:tc>
        <w:tc>
          <w:tcPr>
            <w:tcW w:w="453" w:type="dxa"/>
          </w:tcPr>
          <w:p w14:paraId="40089E7C" w14:textId="77777777" w:rsidR="00720E5A" w:rsidRDefault="00720E5A" w:rsidP="000119BA">
            <w:pPr>
              <w:jc w:val="right"/>
              <w:rPr>
                <w:rFonts w:ascii="Helv" w:hAnsi="Helv"/>
                <w:snapToGrid w:val="0"/>
                <w:color w:val="000000"/>
                <w:sz w:val="21"/>
              </w:rPr>
            </w:pPr>
          </w:p>
        </w:tc>
        <w:tc>
          <w:tcPr>
            <w:tcW w:w="6842" w:type="dxa"/>
            <w:gridSpan w:val="2"/>
          </w:tcPr>
          <w:p w14:paraId="25B4CDFF" w14:textId="77777777" w:rsidR="00720E5A" w:rsidRDefault="00720E5A" w:rsidP="000119BA">
            <w:pPr>
              <w:jc w:val="right"/>
              <w:rPr>
                <w:rFonts w:ascii="Helv" w:hAnsi="Helv"/>
                <w:snapToGrid w:val="0"/>
                <w:color w:val="000000"/>
                <w:sz w:val="21"/>
              </w:rPr>
            </w:pPr>
          </w:p>
          <w:p w14:paraId="244F6609" w14:textId="77777777" w:rsidR="00720E5A" w:rsidRDefault="00720E5A" w:rsidP="000119BA">
            <w:pPr>
              <w:jc w:val="right"/>
              <w:rPr>
                <w:rFonts w:ascii="Helv" w:hAnsi="Helv"/>
                <w:snapToGrid w:val="0"/>
                <w:color w:val="000000"/>
                <w:sz w:val="21"/>
              </w:rPr>
            </w:pPr>
          </w:p>
        </w:tc>
        <w:tc>
          <w:tcPr>
            <w:tcW w:w="1486" w:type="dxa"/>
            <w:gridSpan w:val="2"/>
            <w:tcBorders>
              <w:left w:val="single" w:sz="6" w:space="0" w:color="auto"/>
              <w:right w:val="single" w:sz="6" w:space="0" w:color="auto"/>
            </w:tcBorders>
          </w:tcPr>
          <w:p w14:paraId="150A3C2B" w14:textId="77777777" w:rsidR="00720E5A" w:rsidRDefault="00720E5A" w:rsidP="000119BA">
            <w:pPr>
              <w:jc w:val="center"/>
              <w:rPr>
                <w:rFonts w:ascii="Helv" w:hAnsi="Helv"/>
                <w:snapToGrid w:val="0"/>
                <w:color w:val="000000"/>
                <w:sz w:val="21"/>
              </w:rPr>
            </w:pPr>
          </w:p>
        </w:tc>
      </w:tr>
      <w:tr w:rsidR="00720E5A" w14:paraId="27985492" w14:textId="77777777" w:rsidTr="0AB179E6">
        <w:trPr>
          <w:trHeight w:val="1017"/>
        </w:trPr>
        <w:tc>
          <w:tcPr>
            <w:tcW w:w="565" w:type="dxa"/>
            <w:tcBorders>
              <w:left w:val="single" w:sz="6" w:space="0" w:color="auto"/>
            </w:tcBorders>
          </w:tcPr>
          <w:p w14:paraId="1EB00B14" w14:textId="77777777" w:rsidR="00720E5A" w:rsidRDefault="00720E5A" w:rsidP="00833F99">
            <w:pPr>
              <w:rPr>
                <w:rFonts w:ascii="Helv" w:hAnsi="Helv"/>
                <w:snapToGrid w:val="0"/>
                <w:color w:val="000000"/>
                <w:sz w:val="21"/>
              </w:rPr>
            </w:pPr>
          </w:p>
        </w:tc>
        <w:tc>
          <w:tcPr>
            <w:tcW w:w="199" w:type="dxa"/>
          </w:tcPr>
          <w:p w14:paraId="62A5B3C3" w14:textId="77777777" w:rsidR="00720E5A" w:rsidRDefault="00720E5A" w:rsidP="000119BA">
            <w:pPr>
              <w:rPr>
                <w:rFonts w:ascii="Helv" w:hAnsi="Helv"/>
                <w:snapToGrid w:val="0"/>
                <w:color w:val="000000"/>
                <w:sz w:val="21"/>
              </w:rPr>
            </w:pPr>
            <w:r>
              <w:rPr>
                <w:rFonts w:ascii="Helv" w:hAnsi="Helv"/>
                <w:snapToGrid w:val="0"/>
                <w:color w:val="000000"/>
                <w:sz w:val="21"/>
              </w:rPr>
              <w:t>A.</w:t>
            </w:r>
          </w:p>
        </w:tc>
        <w:tc>
          <w:tcPr>
            <w:tcW w:w="7626" w:type="dxa"/>
            <w:gridSpan w:val="4"/>
          </w:tcPr>
          <w:p w14:paraId="09EE3435" w14:textId="4D56600B" w:rsidR="004374CF" w:rsidRDefault="004374CF" w:rsidP="00972CC2">
            <w:pPr>
              <w:rPr>
                <w:rFonts w:ascii="Helv" w:hAnsi="Helv"/>
                <w:snapToGrid w:val="0"/>
                <w:color w:val="FF0000"/>
                <w:sz w:val="21"/>
              </w:rPr>
            </w:pPr>
            <w:r w:rsidRPr="00D52388">
              <w:rPr>
                <w:rFonts w:ascii="Helv" w:hAnsi="Helv"/>
                <w:snapToGrid w:val="0"/>
                <w:color w:val="000000" w:themeColor="text1"/>
                <w:sz w:val="21"/>
              </w:rPr>
              <w:t xml:space="preserve">Upload </w:t>
            </w:r>
            <w:r w:rsidR="00720E5A" w:rsidRPr="00D52388">
              <w:rPr>
                <w:rFonts w:ascii="Helv" w:hAnsi="Helv"/>
                <w:snapToGrid w:val="0"/>
                <w:color w:val="000000" w:themeColor="text1"/>
                <w:sz w:val="21"/>
              </w:rPr>
              <w:t xml:space="preserve">package </w:t>
            </w:r>
            <w:r w:rsidR="00720E5A">
              <w:rPr>
                <w:rFonts w:ascii="Helv" w:hAnsi="Helv"/>
                <w:snapToGrid w:val="0"/>
                <w:color w:val="000000"/>
                <w:sz w:val="21"/>
              </w:rPr>
              <w:t>(</w:t>
            </w:r>
            <w:r w:rsidR="00BF4775">
              <w:rPr>
                <w:rFonts w:ascii="Helv" w:hAnsi="Helv"/>
                <w:snapToGrid w:val="0"/>
                <w:color w:val="000000"/>
                <w:sz w:val="21"/>
              </w:rPr>
              <w:t>ACFR</w:t>
            </w:r>
            <w:r w:rsidR="00B13D13">
              <w:rPr>
                <w:rFonts w:ascii="Helv" w:hAnsi="Helv"/>
                <w:snapToGrid w:val="0"/>
                <w:color w:val="000000"/>
                <w:sz w:val="21"/>
              </w:rPr>
              <w:t xml:space="preserve"> </w:t>
            </w:r>
            <w:r w:rsidR="00720E5A">
              <w:rPr>
                <w:rFonts w:ascii="Helv" w:hAnsi="Helv"/>
                <w:snapToGrid w:val="0"/>
                <w:color w:val="000000"/>
                <w:sz w:val="21"/>
              </w:rPr>
              <w:t xml:space="preserve">Excel workbook(s), letter of certification, package narratives, and audit report with </w:t>
            </w:r>
            <w:r w:rsidR="00182785">
              <w:rPr>
                <w:rFonts w:ascii="Helv" w:hAnsi="Helv"/>
                <w:snapToGrid w:val="0"/>
                <w:color w:val="000000"/>
                <w:sz w:val="21"/>
              </w:rPr>
              <w:t xml:space="preserve">T101 </w:t>
            </w:r>
            <w:r w:rsidR="00720E5A">
              <w:rPr>
                <w:rFonts w:ascii="Helv" w:hAnsi="Helv"/>
                <w:snapToGrid w:val="0"/>
                <w:color w:val="000000"/>
                <w:sz w:val="21"/>
              </w:rPr>
              <w:t>transmittal</w:t>
            </w:r>
            <w:r w:rsidR="00182785">
              <w:rPr>
                <w:rFonts w:ascii="Helv" w:hAnsi="Helv"/>
                <w:snapToGrid w:val="0"/>
                <w:color w:val="000000"/>
                <w:sz w:val="21"/>
              </w:rPr>
              <w:t xml:space="preserve"> worksheet per OSC Policy 105.4 Submission of Audit Reports</w:t>
            </w:r>
            <w:r w:rsidR="00720E5A">
              <w:rPr>
                <w:rFonts w:ascii="Helv" w:hAnsi="Helv"/>
                <w:snapToGrid w:val="0"/>
                <w:color w:val="000000"/>
                <w:sz w:val="21"/>
              </w:rPr>
              <w:t>, if applicable)</w:t>
            </w:r>
            <w:r>
              <w:rPr>
                <w:rFonts w:ascii="Helv" w:hAnsi="Helv"/>
                <w:snapToGrid w:val="0"/>
                <w:color w:val="000000"/>
                <w:sz w:val="21"/>
              </w:rPr>
              <w:t xml:space="preserve"> </w:t>
            </w:r>
            <w:r w:rsidRPr="00D52388">
              <w:rPr>
                <w:rFonts w:ascii="Helv" w:hAnsi="Helv"/>
                <w:snapToGrid w:val="0"/>
                <w:color w:val="000000" w:themeColor="text1"/>
                <w:sz w:val="21"/>
              </w:rPr>
              <w:t xml:space="preserve">via the </w:t>
            </w:r>
            <w:hyperlink r:id="rId12" w:history="1">
              <w:r w:rsidR="00B13D13">
                <w:rPr>
                  <w:rStyle w:val="Hyperlink"/>
                  <w:rFonts w:ascii="Helv" w:hAnsi="Helv"/>
                  <w:snapToGrid w:val="0"/>
                  <w:sz w:val="21"/>
                </w:rPr>
                <w:t>OSC Year-End Financial Reporting Packages site</w:t>
              </w:r>
            </w:hyperlink>
            <w:r w:rsidR="0081043F">
              <w:rPr>
                <w:rFonts w:ascii="Helv" w:hAnsi="Helv"/>
                <w:snapToGrid w:val="0"/>
                <w:color w:val="FF0000"/>
                <w:sz w:val="21"/>
              </w:rPr>
              <w:t xml:space="preserve">. </w:t>
            </w:r>
          </w:p>
          <w:p w14:paraId="12558C1B" w14:textId="77777777" w:rsidR="00972CC2" w:rsidRDefault="00972CC2" w:rsidP="00972CC2">
            <w:pPr>
              <w:rPr>
                <w:rFonts w:ascii="Helv" w:hAnsi="Helv"/>
                <w:snapToGrid w:val="0"/>
                <w:color w:val="000000"/>
                <w:sz w:val="21"/>
              </w:rPr>
            </w:pPr>
          </w:p>
        </w:tc>
        <w:tc>
          <w:tcPr>
            <w:tcW w:w="1486" w:type="dxa"/>
            <w:gridSpan w:val="2"/>
            <w:tcBorders>
              <w:left w:val="single" w:sz="6" w:space="0" w:color="auto"/>
              <w:right w:val="single" w:sz="6" w:space="0" w:color="auto"/>
            </w:tcBorders>
          </w:tcPr>
          <w:p w14:paraId="76EC99C8" w14:textId="66985547" w:rsidR="000A61C5" w:rsidRPr="007C00C0" w:rsidRDefault="00523271" w:rsidP="000119BA">
            <w:pPr>
              <w:jc w:val="center"/>
              <w:rPr>
                <w:rFonts w:ascii="Helv" w:hAnsi="Helv"/>
                <w:b/>
                <w:snapToGrid w:val="0"/>
                <w:sz w:val="21"/>
              </w:rPr>
            </w:pPr>
            <w:r>
              <w:rPr>
                <w:rFonts w:ascii="Helv" w:hAnsi="Helv"/>
                <w:b/>
                <w:snapToGrid w:val="0"/>
                <w:sz w:val="21"/>
              </w:rPr>
              <w:t>8/1</w:t>
            </w:r>
            <w:r w:rsidR="00780B44">
              <w:rPr>
                <w:rFonts w:ascii="Helv" w:hAnsi="Helv"/>
                <w:b/>
                <w:snapToGrid w:val="0"/>
                <w:sz w:val="21"/>
              </w:rPr>
              <w:t>5</w:t>
            </w:r>
            <w:r w:rsidR="000A61C5" w:rsidRPr="007C00C0">
              <w:rPr>
                <w:rFonts w:ascii="Helv" w:hAnsi="Helv"/>
                <w:b/>
                <w:snapToGrid w:val="0"/>
                <w:sz w:val="21"/>
              </w:rPr>
              <w:t xml:space="preserve"> Tier 1</w:t>
            </w:r>
          </w:p>
          <w:p w14:paraId="6DD493C7" w14:textId="072C849B" w:rsidR="00720E5A" w:rsidRPr="007C00C0" w:rsidRDefault="00720E5A" w:rsidP="4EF732C6">
            <w:pPr>
              <w:jc w:val="center"/>
              <w:rPr>
                <w:rFonts w:ascii="Helv" w:hAnsi="Helv"/>
                <w:b/>
                <w:bCs/>
                <w:snapToGrid w:val="0"/>
                <w:sz w:val="21"/>
                <w:szCs w:val="21"/>
              </w:rPr>
            </w:pPr>
            <w:r w:rsidRPr="4EF732C6">
              <w:rPr>
                <w:rFonts w:ascii="Helv" w:hAnsi="Helv"/>
                <w:b/>
                <w:bCs/>
                <w:snapToGrid w:val="0"/>
                <w:sz w:val="21"/>
                <w:szCs w:val="21"/>
              </w:rPr>
              <w:t>8/2</w:t>
            </w:r>
            <w:r w:rsidR="6465768F" w:rsidRPr="4EF732C6">
              <w:rPr>
                <w:rFonts w:ascii="Helv" w:hAnsi="Helv"/>
                <w:b/>
                <w:bCs/>
                <w:snapToGrid w:val="0"/>
                <w:sz w:val="21"/>
                <w:szCs w:val="21"/>
              </w:rPr>
              <w:t>2</w:t>
            </w:r>
            <w:r w:rsidRPr="4EF732C6">
              <w:rPr>
                <w:rFonts w:ascii="Helv" w:hAnsi="Helv"/>
                <w:b/>
                <w:bCs/>
                <w:snapToGrid w:val="0"/>
                <w:sz w:val="21"/>
                <w:szCs w:val="21"/>
              </w:rPr>
              <w:t xml:space="preserve"> </w:t>
            </w:r>
            <w:r w:rsidR="00CD4952" w:rsidRPr="4EF732C6">
              <w:rPr>
                <w:rFonts w:ascii="Helv" w:hAnsi="Helv"/>
                <w:b/>
                <w:bCs/>
                <w:snapToGrid w:val="0"/>
                <w:sz w:val="21"/>
                <w:szCs w:val="21"/>
              </w:rPr>
              <w:t xml:space="preserve">Tier </w:t>
            </w:r>
            <w:r w:rsidR="000A61C5" w:rsidRPr="4EF732C6">
              <w:rPr>
                <w:rFonts w:ascii="Helv" w:hAnsi="Helv"/>
                <w:b/>
                <w:bCs/>
                <w:snapToGrid w:val="0"/>
                <w:sz w:val="21"/>
                <w:szCs w:val="21"/>
              </w:rPr>
              <w:t>2</w:t>
            </w:r>
          </w:p>
          <w:p w14:paraId="0F361888" w14:textId="2932C241" w:rsidR="00720E5A" w:rsidRPr="007C00C0" w:rsidRDefault="00C97A08" w:rsidP="4EF732C6">
            <w:pPr>
              <w:jc w:val="center"/>
              <w:rPr>
                <w:rFonts w:ascii="Helv" w:hAnsi="Helv"/>
                <w:b/>
                <w:bCs/>
                <w:snapToGrid w:val="0"/>
                <w:sz w:val="21"/>
                <w:szCs w:val="21"/>
              </w:rPr>
            </w:pPr>
            <w:r w:rsidRPr="4EF732C6">
              <w:rPr>
                <w:rFonts w:ascii="Helv" w:hAnsi="Helv"/>
                <w:b/>
                <w:bCs/>
                <w:snapToGrid w:val="0"/>
                <w:sz w:val="21"/>
                <w:szCs w:val="21"/>
              </w:rPr>
              <w:t>8/</w:t>
            </w:r>
            <w:r w:rsidR="1398C5A2" w:rsidRPr="4EF732C6">
              <w:rPr>
                <w:rFonts w:ascii="Helv" w:hAnsi="Helv"/>
                <w:b/>
                <w:bCs/>
                <w:snapToGrid w:val="0"/>
                <w:sz w:val="21"/>
                <w:szCs w:val="21"/>
              </w:rPr>
              <w:t>2</w:t>
            </w:r>
            <w:r w:rsidR="02645BB5" w:rsidRPr="4EF732C6">
              <w:rPr>
                <w:rFonts w:ascii="Helv" w:hAnsi="Helv"/>
                <w:b/>
                <w:bCs/>
                <w:snapToGrid w:val="0"/>
                <w:sz w:val="21"/>
                <w:szCs w:val="21"/>
              </w:rPr>
              <w:t>5</w:t>
            </w:r>
            <w:r w:rsidR="00720E5A" w:rsidRPr="4EF732C6">
              <w:rPr>
                <w:rFonts w:ascii="Helv" w:hAnsi="Helv"/>
                <w:b/>
                <w:bCs/>
                <w:snapToGrid w:val="0"/>
                <w:sz w:val="21"/>
                <w:szCs w:val="21"/>
              </w:rPr>
              <w:t xml:space="preserve"> </w:t>
            </w:r>
            <w:r w:rsidR="00CD4952" w:rsidRPr="4EF732C6">
              <w:rPr>
                <w:rFonts w:ascii="Helv" w:hAnsi="Helv"/>
                <w:b/>
                <w:bCs/>
                <w:snapToGrid w:val="0"/>
                <w:sz w:val="21"/>
                <w:szCs w:val="21"/>
              </w:rPr>
              <w:t xml:space="preserve">Tier </w:t>
            </w:r>
            <w:r w:rsidR="000A61C5" w:rsidRPr="4EF732C6">
              <w:rPr>
                <w:rFonts w:ascii="Helv" w:hAnsi="Helv"/>
                <w:b/>
                <w:bCs/>
                <w:snapToGrid w:val="0"/>
                <w:sz w:val="21"/>
                <w:szCs w:val="21"/>
              </w:rPr>
              <w:t>3</w:t>
            </w:r>
          </w:p>
          <w:p w14:paraId="2957C7CA" w14:textId="54661FB4" w:rsidR="00720E5A" w:rsidRPr="007C00C0" w:rsidRDefault="00720E5A" w:rsidP="4EF732C6">
            <w:pPr>
              <w:jc w:val="center"/>
              <w:rPr>
                <w:rFonts w:ascii="Helv" w:hAnsi="Helv"/>
                <w:b/>
                <w:bCs/>
                <w:snapToGrid w:val="0"/>
                <w:sz w:val="21"/>
                <w:szCs w:val="21"/>
              </w:rPr>
            </w:pPr>
            <w:r w:rsidRPr="4EF732C6">
              <w:rPr>
                <w:rFonts w:ascii="Helv" w:hAnsi="Helv"/>
                <w:b/>
                <w:bCs/>
                <w:snapToGrid w:val="0"/>
                <w:sz w:val="21"/>
                <w:szCs w:val="21"/>
              </w:rPr>
              <w:t>8/2</w:t>
            </w:r>
            <w:r w:rsidR="49C460B5" w:rsidRPr="4EF732C6">
              <w:rPr>
                <w:rFonts w:ascii="Helv" w:hAnsi="Helv"/>
                <w:b/>
                <w:bCs/>
                <w:snapToGrid w:val="0"/>
                <w:sz w:val="21"/>
                <w:szCs w:val="21"/>
              </w:rPr>
              <w:t>9</w:t>
            </w:r>
            <w:r w:rsidRPr="4EF732C6">
              <w:rPr>
                <w:rFonts w:ascii="Helv" w:hAnsi="Helv"/>
                <w:b/>
                <w:bCs/>
                <w:snapToGrid w:val="0"/>
                <w:sz w:val="21"/>
                <w:szCs w:val="21"/>
              </w:rPr>
              <w:t xml:space="preserve"> </w:t>
            </w:r>
            <w:r w:rsidR="00030EA6" w:rsidRPr="4EF732C6">
              <w:rPr>
                <w:rFonts w:ascii="Helv" w:hAnsi="Helv"/>
                <w:b/>
                <w:bCs/>
                <w:snapToGrid w:val="0"/>
                <w:sz w:val="21"/>
                <w:szCs w:val="21"/>
              </w:rPr>
              <w:t>all oth</w:t>
            </w:r>
            <w:r w:rsidRPr="4EF732C6">
              <w:rPr>
                <w:rFonts w:ascii="Helv" w:hAnsi="Helv"/>
                <w:b/>
                <w:bCs/>
                <w:snapToGrid w:val="0"/>
                <w:sz w:val="21"/>
                <w:szCs w:val="21"/>
              </w:rPr>
              <w:t>ers</w:t>
            </w:r>
          </w:p>
        </w:tc>
      </w:tr>
      <w:tr w:rsidR="00720E5A" w14:paraId="63C49FD0" w14:textId="77777777" w:rsidTr="0AB179E6">
        <w:trPr>
          <w:trHeight w:val="268"/>
        </w:trPr>
        <w:tc>
          <w:tcPr>
            <w:tcW w:w="565" w:type="dxa"/>
            <w:tcBorders>
              <w:left w:val="single" w:sz="6" w:space="0" w:color="auto"/>
            </w:tcBorders>
          </w:tcPr>
          <w:p w14:paraId="19F123C2" w14:textId="77777777" w:rsidR="00720E5A" w:rsidRDefault="00720E5A" w:rsidP="000119BA">
            <w:pPr>
              <w:jc w:val="right"/>
              <w:rPr>
                <w:rFonts w:ascii="Helv" w:hAnsi="Helv"/>
                <w:snapToGrid w:val="0"/>
                <w:color w:val="000000"/>
                <w:sz w:val="21"/>
              </w:rPr>
            </w:pPr>
          </w:p>
        </w:tc>
        <w:tc>
          <w:tcPr>
            <w:tcW w:w="199" w:type="dxa"/>
          </w:tcPr>
          <w:p w14:paraId="52F57E3A" w14:textId="77777777" w:rsidR="00720E5A" w:rsidRDefault="00720E5A" w:rsidP="000119BA">
            <w:pPr>
              <w:jc w:val="right"/>
              <w:rPr>
                <w:rFonts w:ascii="Helv" w:hAnsi="Helv"/>
                <w:snapToGrid w:val="0"/>
                <w:color w:val="000000"/>
                <w:sz w:val="21"/>
              </w:rPr>
            </w:pPr>
          </w:p>
        </w:tc>
        <w:tc>
          <w:tcPr>
            <w:tcW w:w="7626" w:type="dxa"/>
            <w:gridSpan w:val="4"/>
          </w:tcPr>
          <w:p w14:paraId="2EF84C1E" w14:textId="6D74B0D5" w:rsidR="00D17B1E" w:rsidRPr="0088488D" w:rsidRDefault="00D17B1E" w:rsidP="0042118F">
            <w:pPr>
              <w:rPr>
                <w:rFonts w:ascii="Helv" w:hAnsi="Helv"/>
                <w:b/>
                <w:bCs/>
                <w:snapToGrid w:val="0"/>
                <w:color w:val="000000"/>
                <w:sz w:val="21"/>
              </w:rPr>
            </w:pPr>
            <w:r w:rsidRPr="00D17B1E">
              <w:rPr>
                <w:rFonts w:ascii="Helv" w:hAnsi="Helv"/>
                <w:b/>
                <w:bCs/>
                <w:snapToGrid w:val="0"/>
                <w:color w:val="000000"/>
                <w:sz w:val="21"/>
                <w:highlight w:val="yellow"/>
              </w:rPr>
              <w:t>Please note</w:t>
            </w:r>
            <w:r w:rsidR="00301E89">
              <w:rPr>
                <w:rFonts w:ascii="Helv" w:hAnsi="Helv"/>
                <w:b/>
                <w:bCs/>
                <w:snapToGrid w:val="0"/>
                <w:color w:val="000000"/>
                <w:sz w:val="21"/>
                <w:highlight w:val="yellow"/>
              </w:rPr>
              <w:t xml:space="preserve"> the</w:t>
            </w:r>
            <w:r w:rsidRPr="00D17B1E">
              <w:rPr>
                <w:rFonts w:ascii="Helv" w:hAnsi="Helv"/>
                <w:b/>
                <w:bCs/>
                <w:snapToGrid w:val="0"/>
                <w:color w:val="000000"/>
                <w:sz w:val="21"/>
                <w:highlight w:val="yellow"/>
              </w:rPr>
              <w:t xml:space="preserve"> date o</w:t>
            </w:r>
            <w:r>
              <w:rPr>
                <w:rFonts w:ascii="Helv" w:hAnsi="Helv"/>
                <w:b/>
                <w:bCs/>
                <w:snapToGrid w:val="0"/>
                <w:color w:val="000000"/>
                <w:sz w:val="21"/>
                <w:highlight w:val="yellow"/>
              </w:rPr>
              <w:t xml:space="preserve">n </w:t>
            </w:r>
            <w:r w:rsidR="00F6368B">
              <w:rPr>
                <w:rFonts w:ascii="Helv" w:hAnsi="Helv"/>
                <w:b/>
                <w:bCs/>
                <w:snapToGrid w:val="0"/>
                <w:color w:val="000000"/>
                <w:sz w:val="21"/>
                <w:highlight w:val="yellow"/>
              </w:rPr>
              <w:t xml:space="preserve">the </w:t>
            </w:r>
            <w:r>
              <w:rPr>
                <w:rFonts w:ascii="Helv" w:hAnsi="Helv"/>
                <w:b/>
                <w:bCs/>
                <w:snapToGrid w:val="0"/>
                <w:color w:val="000000"/>
                <w:sz w:val="21"/>
                <w:highlight w:val="yellow"/>
              </w:rPr>
              <w:t>l</w:t>
            </w:r>
            <w:r w:rsidRPr="00D17B1E">
              <w:rPr>
                <w:rFonts w:ascii="Helv" w:hAnsi="Helv"/>
                <w:b/>
                <w:bCs/>
                <w:snapToGrid w:val="0"/>
                <w:color w:val="000000"/>
                <w:sz w:val="21"/>
                <w:highlight w:val="yellow"/>
              </w:rPr>
              <w:t xml:space="preserve">etter of </w:t>
            </w:r>
            <w:r>
              <w:rPr>
                <w:rFonts w:ascii="Helv" w:hAnsi="Helv"/>
                <w:b/>
                <w:bCs/>
                <w:snapToGrid w:val="0"/>
                <w:color w:val="000000"/>
                <w:sz w:val="21"/>
                <w:highlight w:val="yellow"/>
              </w:rPr>
              <w:t>c</w:t>
            </w:r>
            <w:r w:rsidRPr="00D17B1E">
              <w:rPr>
                <w:rFonts w:ascii="Helv" w:hAnsi="Helv"/>
                <w:b/>
                <w:bCs/>
                <w:snapToGrid w:val="0"/>
                <w:color w:val="000000"/>
                <w:sz w:val="21"/>
                <w:highlight w:val="yellow"/>
              </w:rPr>
              <w:t xml:space="preserve">ertification </w:t>
            </w:r>
            <w:r w:rsidR="005A3A10">
              <w:rPr>
                <w:rFonts w:ascii="Helv" w:hAnsi="Helv"/>
                <w:b/>
                <w:bCs/>
                <w:snapToGrid w:val="0"/>
                <w:color w:val="000000"/>
                <w:sz w:val="21"/>
                <w:highlight w:val="yellow"/>
              </w:rPr>
              <w:t>should</w:t>
            </w:r>
            <w:r w:rsidRPr="00D17B1E">
              <w:rPr>
                <w:rFonts w:ascii="Helv" w:hAnsi="Helv"/>
                <w:b/>
                <w:bCs/>
                <w:snapToGrid w:val="0"/>
                <w:color w:val="000000"/>
                <w:sz w:val="21"/>
                <w:highlight w:val="yellow"/>
              </w:rPr>
              <w:t xml:space="preserve"> be the date the package is submitted.  The </w:t>
            </w:r>
            <w:r w:rsidR="00D43D80">
              <w:rPr>
                <w:rFonts w:ascii="Helv" w:hAnsi="Helv"/>
                <w:b/>
                <w:bCs/>
                <w:snapToGrid w:val="0"/>
                <w:color w:val="000000"/>
                <w:sz w:val="21"/>
                <w:highlight w:val="yellow"/>
              </w:rPr>
              <w:t>letter</w:t>
            </w:r>
            <w:r w:rsidRPr="00D17B1E">
              <w:rPr>
                <w:rFonts w:ascii="Helv" w:hAnsi="Helv"/>
                <w:b/>
                <w:bCs/>
                <w:snapToGrid w:val="0"/>
                <w:color w:val="000000"/>
                <w:sz w:val="21"/>
                <w:highlight w:val="yellow"/>
              </w:rPr>
              <w:t xml:space="preserve"> </w:t>
            </w:r>
            <w:r w:rsidR="005A3A10">
              <w:rPr>
                <w:rFonts w:ascii="Helv" w:hAnsi="Helv"/>
                <w:b/>
                <w:bCs/>
                <w:snapToGrid w:val="0"/>
                <w:color w:val="000000"/>
                <w:sz w:val="21"/>
                <w:highlight w:val="yellow"/>
              </w:rPr>
              <w:t>c</w:t>
            </w:r>
            <w:r w:rsidRPr="00D17B1E">
              <w:rPr>
                <w:rFonts w:ascii="Helv" w:hAnsi="Helv"/>
                <w:b/>
                <w:bCs/>
                <w:snapToGrid w:val="0"/>
                <w:color w:val="000000"/>
                <w:sz w:val="21"/>
                <w:highlight w:val="yellow"/>
              </w:rPr>
              <w:t xml:space="preserve">annot be </w:t>
            </w:r>
            <w:r w:rsidR="000F0FDF">
              <w:rPr>
                <w:rFonts w:ascii="Helv" w:hAnsi="Helv"/>
                <w:b/>
                <w:bCs/>
                <w:snapToGrid w:val="0"/>
                <w:color w:val="000000"/>
                <w:sz w:val="21"/>
                <w:highlight w:val="yellow"/>
              </w:rPr>
              <w:t>dated earlier tha</w:t>
            </w:r>
            <w:r w:rsidR="0042118F">
              <w:rPr>
                <w:rFonts w:ascii="Helv" w:hAnsi="Helv"/>
                <w:b/>
                <w:bCs/>
                <w:snapToGrid w:val="0"/>
                <w:color w:val="000000"/>
                <w:sz w:val="21"/>
                <w:highlight w:val="yellow"/>
              </w:rPr>
              <w:t>n the submission date</w:t>
            </w:r>
            <w:r w:rsidRPr="00D17B1E">
              <w:rPr>
                <w:rFonts w:ascii="Helv" w:hAnsi="Helv"/>
                <w:b/>
                <w:bCs/>
                <w:snapToGrid w:val="0"/>
                <w:color w:val="000000"/>
                <w:sz w:val="21"/>
                <w:highlight w:val="yellow"/>
              </w:rPr>
              <w:t>.</w:t>
            </w:r>
          </w:p>
        </w:tc>
        <w:tc>
          <w:tcPr>
            <w:tcW w:w="1486" w:type="dxa"/>
            <w:gridSpan w:val="2"/>
            <w:tcBorders>
              <w:left w:val="single" w:sz="6" w:space="0" w:color="auto"/>
              <w:right w:val="single" w:sz="6" w:space="0" w:color="auto"/>
            </w:tcBorders>
          </w:tcPr>
          <w:p w14:paraId="068CD499" w14:textId="77777777" w:rsidR="00720E5A" w:rsidRPr="002C1B77" w:rsidRDefault="00720E5A" w:rsidP="000119BA">
            <w:pPr>
              <w:jc w:val="center"/>
              <w:rPr>
                <w:rFonts w:ascii="Helv" w:hAnsi="Helv"/>
                <w:b/>
                <w:snapToGrid w:val="0"/>
                <w:color w:val="000000"/>
                <w:sz w:val="21"/>
              </w:rPr>
            </w:pPr>
          </w:p>
        </w:tc>
      </w:tr>
      <w:tr w:rsidR="00720E5A" w14:paraId="20381005" w14:textId="77777777" w:rsidTr="0AB179E6">
        <w:trPr>
          <w:trHeight w:val="268"/>
        </w:trPr>
        <w:tc>
          <w:tcPr>
            <w:tcW w:w="565" w:type="dxa"/>
            <w:tcBorders>
              <w:left w:val="single" w:sz="6" w:space="0" w:color="auto"/>
            </w:tcBorders>
          </w:tcPr>
          <w:p w14:paraId="0933CB2D" w14:textId="77777777" w:rsidR="00720E5A" w:rsidRDefault="00720E5A" w:rsidP="000119BA">
            <w:pPr>
              <w:jc w:val="right"/>
              <w:rPr>
                <w:rFonts w:ascii="Helv" w:hAnsi="Helv"/>
                <w:snapToGrid w:val="0"/>
                <w:color w:val="000000"/>
                <w:sz w:val="21"/>
              </w:rPr>
            </w:pPr>
          </w:p>
        </w:tc>
        <w:tc>
          <w:tcPr>
            <w:tcW w:w="199" w:type="dxa"/>
          </w:tcPr>
          <w:p w14:paraId="2306444F" w14:textId="77777777" w:rsidR="00720E5A" w:rsidRDefault="00720E5A" w:rsidP="000119BA">
            <w:pPr>
              <w:jc w:val="right"/>
              <w:rPr>
                <w:rFonts w:ascii="Helv" w:hAnsi="Helv"/>
                <w:snapToGrid w:val="0"/>
                <w:color w:val="000000"/>
                <w:sz w:val="21"/>
              </w:rPr>
            </w:pPr>
          </w:p>
        </w:tc>
        <w:tc>
          <w:tcPr>
            <w:tcW w:w="331" w:type="dxa"/>
          </w:tcPr>
          <w:p w14:paraId="42773EB3" w14:textId="77777777" w:rsidR="00720E5A" w:rsidRDefault="00720E5A" w:rsidP="000119BA">
            <w:pPr>
              <w:jc w:val="right"/>
              <w:rPr>
                <w:rFonts w:ascii="Helv" w:hAnsi="Helv"/>
                <w:snapToGrid w:val="0"/>
                <w:color w:val="000000"/>
                <w:sz w:val="21"/>
              </w:rPr>
            </w:pPr>
          </w:p>
        </w:tc>
        <w:tc>
          <w:tcPr>
            <w:tcW w:w="453" w:type="dxa"/>
          </w:tcPr>
          <w:p w14:paraId="73AD351D" w14:textId="77777777" w:rsidR="00720E5A" w:rsidRDefault="00720E5A" w:rsidP="000119BA">
            <w:pPr>
              <w:jc w:val="right"/>
              <w:rPr>
                <w:rFonts w:ascii="Helv" w:hAnsi="Helv"/>
                <w:snapToGrid w:val="0"/>
                <w:color w:val="000000"/>
                <w:sz w:val="21"/>
              </w:rPr>
            </w:pPr>
          </w:p>
        </w:tc>
        <w:tc>
          <w:tcPr>
            <w:tcW w:w="6842" w:type="dxa"/>
            <w:gridSpan w:val="2"/>
          </w:tcPr>
          <w:p w14:paraId="56DB7C70" w14:textId="77777777" w:rsidR="00720E5A" w:rsidRDefault="00720E5A" w:rsidP="000119BA">
            <w:pPr>
              <w:jc w:val="right"/>
              <w:rPr>
                <w:rFonts w:ascii="Helv" w:hAnsi="Helv"/>
                <w:snapToGrid w:val="0"/>
                <w:color w:val="000000"/>
                <w:sz w:val="21"/>
              </w:rPr>
            </w:pPr>
          </w:p>
        </w:tc>
        <w:tc>
          <w:tcPr>
            <w:tcW w:w="1486" w:type="dxa"/>
            <w:gridSpan w:val="2"/>
            <w:tcBorders>
              <w:left w:val="single" w:sz="6" w:space="0" w:color="auto"/>
              <w:right w:val="single" w:sz="6" w:space="0" w:color="auto"/>
            </w:tcBorders>
          </w:tcPr>
          <w:p w14:paraId="3D41CBE6" w14:textId="77777777" w:rsidR="00720E5A" w:rsidRPr="002C1B77" w:rsidRDefault="00720E5A" w:rsidP="000119BA">
            <w:pPr>
              <w:jc w:val="center"/>
              <w:rPr>
                <w:rFonts w:ascii="Helv" w:hAnsi="Helv"/>
                <w:b/>
                <w:snapToGrid w:val="0"/>
                <w:color w:val="000000"/>
                <w:sz w:val="21"/>
              </w:rPr>
            </w:pPr>
          </w:p>
        </w:tc>
      </w:tr>
      <w:tr w:rsidR="00720E5A" w14:paraId="77B5B113" w14:textId="77777777" w:rsidTr="0AB179E6">
        <w:trPr>
          <w:trHeight w:val="268"/>
        </w:trPr>
        <w:tc>
          <w:tcPr>
            <w:tcW w:w="565" w:type="dxa"/>
            <w:tcBorders>
              <w:left w:val="single" w:sz="6" w:space="0" w:color="auto"/>
            </w:tcBorders>
          </w:tcPr>
          <w:p w14:paraId="21CB6503" w14:textId="77777777" w:rsidR="00720E5A" w:rsidRDefault="00720E5A" w:rsidP="000119BA">
            <w:pPr>
              <w:jc w:val="right"/>
              <w:rPr>
                <w:rFonts w:ascii="Helv" w:hAnsi="Helv"/>
                <w:snapToGrid w:val="0"/>
                <w:color w:val="000000"/>
                <w:sz w:val="21"/>
              </w:rPr>
            </w:pPr>
          </w:p>
        </w:tc>
        <w:tc>
          <w:tcPr>
            <w:tcW w:w="199" w:type="dxa"/>
          </w:tcPr>
          <w:p w14:paraId="12EEEBB9" w14:textId="77777777" w:rsidR="00720E5A" w:rsidRDefault="00720E5A" w:rsidP="000119BA">
            <w:pPr>
              <w:rPr>
                <w:rFonts w:ascii="Helv" w:hAnsi="Helv"/>
                <w:snapToGrid w:val="0"/>
                <w:color w:val="000000"/>
                <w:sz w:val="21"/>
              </w:rPr>
            </w:pPr>
            <w:r>
              <w:rPr>
                <w:rFonts w:ascii="Helv" w:hAnsi="Helv"/>
                <w:snapToGrid w:val="0"/>
                <w:color w:val="000000"/>
                <w:sz w:val="21"/>
              </w:rPr>
              <w:t>B.</w:t>
            </w:r>
          </w:p>
        </w:tc>
        <w:tc>
          <w:tcPr>
            <w:tcW w:w="7626" w:type="dxa"/>
            <w:gridSpan w:val="4"/>
          </w:tcPr>
          <w:p w14:paraId="72D5E48E" w14:textId="7A7CE87E" w:rsidR="0081043F" w:rsidRDefault="00720E5A" w:rsidP="000119BA">
            <w:pPr>
              <w:rPr>
                <w:rFonts w:ascii="Helv" w:hAnsi="Helv"/>
                <w:snapToGrid w:val="0"/>
                <w:color w:val="000000"/>
                <w:sz w:val="21"/>
              </w:rPr>
            </w:pPr>
            <w:r>
              <w:rPr>
                <w:rFonts w:ascii="Helv" w:hAnsi="Helv"/>
                <w:snapToGrid w:val="0"/>
                <w:color w:val="000000"/>
                <w:sz w:val="21"/>
              </w:rPr>
              <w:t>Universities</w:t>
            </w:r>
            <w:r w:rsidR="005E74AE">
              <w:rPr>
                <w:rFonts w:ascii="Helv" w:hAnsi="Helv"/>
                <w:snapToGrid w:val="0"/>
                <w:color w:val="000000"/>
                <w:sz w:val="21"/>
              </w:rPr>
              <w:t xml:space="preserve"> upload</w:t>
            </w:r>
            <w:r>
              <w:rPr>
                <w:rFonts w:ascii="Helv" w:hAnsi="Helv"/>
                <w:snapToGrid w:val="0"/>
                <w:color w:val="000000"/>
                <w:sz w:val="21"/>
              </w:rPr>
              <w:t xml:space="preserve"> foundation template t</w:t>
            </w:r>
            <w:r w:rsidR="0081043F">
              <w:rPr>
                <w:rFonts w:ascii="Helv" w:hAnsi="Helv"/>
                <w:snapToGrid w:val="0"/>
                <w:color w:val="000000"/>
                <w:sz w:val="21"/>
              </w:rPr>
              <w:t xml:space="preserve">o </w:t>
            </w:r>
            <w:hyperlink r:id="rId13" w:history="1">
              <w:r w:rsidR="00B13D13">
                <w:rPr>
                  <w:rStyle w:val="Hyperlink"/>
                  <w:rFonts w:ascii="Helv" w:hAnsi="Helv"/>
                  <w:snapToGrid w:val="0"/>
                  <w:sz w:val="21"/>
                </w:rPr>
                <w:t>OSC Year-End Financial Reporting Packages site</w:t>
              </w:r>
            </w:hyperlink>
            <w:r w:rsidR="00B13D13">
              <w:rPr>
                <w:rStyle w:val="Hyperlink"/>
                <w:rFonts w:ascii="Helv" w:hAnsi="Helv"/>
                <w:snapToGrid w:val="0"/>
                <w:sz w:val="21"/>
              </w:rPr>
              <w:t>.</w:t>
            </w:r>
          </w:p>
          <w:p w14:paraId="12AE1F50" w14:textId="75505E06" w:rsidR="00720E5A" w:rsidRDefault="007B15FE" w:rsidP="4EF732C6">
            <w:pPr>
              <w:rPr>
                <w:rFonts w:ascii="Helv" w:hAnsi="Helv"/>
                <w:snapToGrid w:val="0"/>
                <w:color w:val="000000"/>
                <w:sz w:val="21"/>
                <w:szCs w:val="21"/>
              </w:rPr>
            </w:pPr>
            <w:r w:rsidRPr="4EF732C6">
              <w:rPr>
                <w:rFonts w:ascii="Helv" w:hAnsi="Helv"/>
                <w:b/>
                <w:bCs/>
                <w:snapToGrid w:val="0"/>
                <w:color w:val="000000" w:themeColor="text1"/>
                <w:sz w:val="21"/>
                <w:szCs w:val="21"/>
              </w:rPr>
              <w:t xml:space="preserve">                                                                                                                                                                                                                                                                                                                                                                                                                                                                                                                                                                                                                                                                                                                                                                                                                                                                                                                                                                                                                                                                                                                                                                                                                                                                                                                                                                                                                                                                                                                                                                                                                                                                                                                                                                                                                                                                                           </w:t>
            </w:r>
          </w:p>
        </w:tc>
        <w:tc>
          <w:tcPr>
            <w:tcW w:w="1486" w:type="dxa"/>
            <w:gridSpan w:val="2"/>
            <w:tcBorders>
              <w:left w:val="single" w:sz="6" w:space="0" w:color="auto"/>
              <w:right w:val="single" w:sz="6" w:space="0" w:color="auto"/>
            </w:tcBorders>
          </w:tcPr>
          <w:p w14:paraId="3CF40020" w14:textId="33496970" w:rsidR="00720E5A" w:rsidRPr="00F43D97" w:rsidRDefault="00720E5A" w:rsidP="4EF732C6">
            <w:pPr>
              <w:jc w:val="center"/>
              <w:rPr>
                <w:rFonts w:ascii="Helv" w:hAnsi="Helv"/>
                <w:b/>
                <w:bCs/>
                <w:snapToGrid w:val="0"/>
                <w:sz w:val="21"/>
                <w:szCs w:val="21"/>
              </w:rPr>
            </w:pPr>
            <w:r w:rsidRPr="4EF732C6">
              <w:rPr>
                <w:rFonts w:ascii="Helv" w:hAnsi="Helv"/>
                <w:b/>
                <w:bCs/>
                <w:snapToGrid w:val="0"/>
                <w:sz w:val="21"/>
                <w:szCs w:val="21"/>
              </w:rPr>
              <w:t>9/1</w:t>
            </w:r>
            <w:r w:rsidR="2F5BEF14" w:rsidRPr="4EF732C6">
              <w:rPr>
                <w:rFonts w:ascii="Helv" w:hAnsi="Helv"/>
                <w:b/>
                <w:bCs/>
                <w:snapToGrid w:val="0"/>
                <w:sz w:val="21"/>
                <w:szCs w:val="21"/>
              </w:rPr>
              <w:t>1</w:t>
            </w:r>
          </w:p>
        </w:tc>
      </w:tr>
      <w:tr w:rsidR="00720E5A" w14:paraId="3F502EE6" w14:textId="77777777" w:rsidTr="0AB179E6">
        <w:trPr>
          <w:trHeight w:val="268"/>
        </w:trPr>
        <w:tc>
          <w:tcPr>
            <w:tcW w:w="565" w:type="dxa"/>
            <w:tcBorders>
              <w:left w:val="single" w:sz="6" w:space="0" w:color="auto"/>
            </w:tcBorders>
          </w:tcPr>
          <w:p w14:paraId="105723DC" w14:textId="77777777" w:rsidR="00720E5A" w:rsidRDefault="00720E5A" w:rsidP="000119BA">
            <w:pPr>
              <w:jc w:val="right"/>
              <w:rPr>
                <w:rFonts w:ascii="Helv" w:hAnsi="Helv"/>
                <w:snapToGrid w:val="0"/>
                <w:color w:val="000000"/>
                <w:sz w:val="21"/>
              </w:rPr>
            </w:pPr>
          </w:p>
        </w:tc>
        <w:tc>
          <w:tcPr>
            <w:tcW w:w="199" w:type="dxa"/>
          </w:tcPr>
          <w:p w14:paraId="7A076F6F" w14:textId="77777777" w:rsidR="00720E5A" w:rsidRDefault="00720E5A" w:rsidP="000119BA">
            <w:pPr>
              <w:jc w:val="right"/>
              <w:rPr>
                <w:rFonts w:ascii="Helv" w:hAnsi="Helv"/>
                <w:snapToGrid w:val="0"/>
                <w:color w:val="000000"/>
                <w:sz w:val="21"/>
              </w:rPr>
            </w:pPr>
          </w:p>
        </w:tc>
        <w:tc>
          <w:tcPr>
            <w:tcW w:w="331" w:type="dxa"/>
          </w:tcPr>
          <w:p w14:paraId="0A4ADE3A" w14:textId="77777777" w:rsidR="00720E5A" w:rsidRDefault="00720E5A" w:rsidP="000119BA">
            <w:pPr>
              <w:jc w:val="right"/>
              <w:rPr>
                <w:rFonts w:ascii="Helv" w:hAnsi="Helv"/>
                <w:snapToGrid w:val="0"/>
                <w:color w:val="000000"/>
                <w:sz w:val="21"/>
              </w:rPr>
            </w:pPr>
          </w:p>
        </w:tc>
        <w:tc>
          <w:tcPr>
            <w:tcW w:w="453" w:type="dxa"/>
          </w:tcPr>
          <w:p w14:paraId="753C15EF" w14:textId="77777777" w:rsidR="00720E5A" w:rsidRDefault="00720E5A" w:rsidP="000119BA">
            <w:pPr>
              <w:jc w:val="right"/>
              <w:rPr>
                <w:rFonts w:ascii="Helv" w:hAnsi="Helv"/>
                <w:snapToGrid w:val="0"/>
                <w:color w:val="000000"/>
                <w:sz w:val="21"/>
              </w:rPr>
            </w:pPr>
          </w:p>
        </w:tc>
        <w:tc>
          <w:tcPr>
            <w:tcW w:w="6842" w:type="dxa"/>
            <w:gridSpan w:val="2"/>
          </w:tcPr>
          <w:p w14:paraId="1D225AE0" w14:textId="77777777" w:rsidR="00720E5A" w:rsidRDefault="00720E5A" w:rsidP="000119BA">
            <w:pPr>
              <w:jc w:val="right"/>
              <w:rPr>
                <w:rFonts w:ascii="Helv" w:hAnsi="Helv"/>
                <w:snapToGrid w:val="0"/>
                <w:color w:val="000000"/>
                <w:sz w:val="21"/>
              </w:rPr>
            </w:pPr>
          </w:p>
        </w:tc>
        <w:tc>
          <w:tcPr>
            <w:tcW w:w="1486" w:type="dxa"/>
            <w:gridSpan w:val="2"/>
            <w:tcBorders>
              <w:left w:val="single" w:sz="6" w:space="0" w:color="auto"/>
              <w:right w:val="single" w:sz="6" w:space="0" w:color="auto"/>
            </w:tcBorders>
          </w:tcPr>
          <w:p w14:paraId="4A051053" w14:textId="77777777" w:rsidR="00720E5A" w:rsidRPr="002C1B77" w:rsidRDefault="00720E5A" w:rsidP="000119BA">
            <w:pPr>
              <w:jc w:val="center"/>
              <w:rPr>
                <w:rFonts w:ascii="Helv" w:hAnsi="Helv"/>
                <w:b/>
                <w:snapToGrid w:val="0"/>
                <w:color w:val="000000"/>
                <w:sz w:val="21"/>
              </w:rPr>
            </w:pPr>
          </w:p>
        </w:tc>
      </w:tr>
      <w:tr w:rsidR="00720E5A" w14:paraId="3AC85994" w14:textId="77777777" w:rsidTr="0AB179E6">
        <w:trPr>
          <w:trHeight w:val="268"/>
        </w:trPr>
        <w:tc>
          <w:tcPr>
            <w:tcW w:w="565" w:type="dxa"/>
            <w:tcBorders>
              <w:left w:val="single" w:sz="6" w:space="0" w:color="auto"/>
            </w:tcBorders>
          </w:tcPr>
          <w:p w14:paraId="0223F2DE" w14:textId="77777777" w:rsidR="00720E5A" w:rsidRDefault="00720E5A" w:rsidP="000119BA">
            <w:pPr>
              <w:jc w:val="right"/>
              <w:rPr>
                <w:rFonts w:ascii="Helv" w:hAnsi="Helv"/>
                <w:snapToGrid w:val="0"/>
                <w:color w:val="000000"/>
                <w:sz w:val="21"/>
              </w:rPr>
            </w:pPr>
          </w:p>
        </w:tc>
        <w:tc>
          <w:tcPr>
            <w:tcW w:w="199" w:type="dxa"/>
          </w:tcPr>
          <w:p w14:paraId="3828E2CD" w14:textId="77777777" w:rsidR="00720E5A" w:rsidRDefault="00720E5A" w:rsidP="000119BA">
            <w:pPr>
              <w:ind w:left="-19"/>
              <w:rPr>
                <w:rFonts w:ascii="Helv" w:hAnsi="Helv"/>
                <w:snapToGrid w:val="0"/>
                <w:color w:val="000000"/>
                <w:sz w:val="21"/>
              </w:rPr>
            </w:pPr>
            <w:r>
              <w:rPr>
                <w:rFonts w:ascii="Helv" w:hAnsi="Helv"/>
                <w:snapToGrid w:val="0"/>
                <w:color w:val="000000"/>
                <w:sz w:val="21"/>
              </w:rPr>
              <w:t>C.</w:t>
            </w:r>
          </w:p>
        </w:tc>
        <w:tc>
          <w:tcPr>
            <w:tcW w:w="7626" w:type="dxa"/>
            <w:gridSpan w:val="4"/>
          </w:tcPr>
          <w:p w14:paraId="53398804" w14:textId="64229705" w:rsidR="0081043F" w:rsidRDefault="4DAD5755" w:rsidP="000119BA">
            <w:pPr>
              <w:rPr>
                <w:rFonts w:ascii="Helv" w:hAnsi="Helv"/>
                <w:snapToGrid w:val="0"/>
                <w:color w:val="000000"/>
                <w:sz w:val="21"/>
                <w:szCs w:val="21"/>
              </w:rPr>
            </w:pPr>
            <w:r w:rsidRPr="1974B432">
              <w:rPr>
                <w:rFonts w:ascii="Helv" w:hAnsi="Helv"/>
                <w:snapToGrid w:val="0"/>
                <w:color w:val="000000"/>
                <w:sz w:val="21"/>
                <w:szCs w:val="21"/>
              </w:rPr>
              <w:t>Univer</w:t>
            </w:r>
            <w:r w:rsidR="42216F6D" w:rsidRPr="1974B432">
              <w:rPr>
                <w:rFonts w:ascii="Helv" w:hAnsi="Helv"/>
                <w:snapToGrid w:val="0"/>
                <w:color w:val="000000"/>
                <w:sz w:val="21"/>
                <w:szCs w:val="21"/>
              </w:rPr>
              <w:t>sity System</w:t>
            </w:r>
            <w:r w:rsidR="00720E5A" w:rsidRPr="1974B432">
              <w:rPr>
                <w:rFonts w:ascii="Helv" w:hAnsi="Helv"/>
                <w:snapToGrid w:val="0"/>
                <w:color w:val="000000"/>
                <w:sz w:val="21"/>
                <w:szCs w:val="21"/>
              </w:rPr>
              <w:t xml:space="preserve"> and NC Education Lottery </w:t>
            </w:r>
            <w:r w:rsidR="003310F6" w:rsidRPr="1974B432">
              <w:rPr>
                <w:rFonts w:ascii="Helv" w:hAnsi="Helv"/>
                <w:snapToGrid w:val="0"/>
                <w:color w:val="000000"/>
                <w:sz w:val="21"/>
                <w:szCs w:val="21"/>
              </w:rPr>
              <w:t>upload</w:t>
            </w:r>
            <w:r w:rsidR="00720E5A" w:rsidRPr="1974B432">
              <w:rPr>
                <w:rFonts w:ascii="Helv" w:hAnsi="Helv"/>
                <w:snapToGrid w:val="0"/>
                <w:color w:val="000000"/>
                <w:sz w:val="21"/>
                <w:szCs w:val="21"/>
              </w:rPr>
              <w:t xml:space="preserve"> formal notes</w:t>
            </w:r>
            <w:r w:rsidR="00833F99" w:rsidRPr="1974B432">
              <w:rPr>
                <w:rFonts w:ascii="Helv" w:hAnsi="Helv"/>
                <w:snapToGrid w:val="0"/>
                <w:color w:val="000000"/>
                <w:sz w:val="21"/>
                <w:szCs w:val="21"/>
              </w:rPr>
              <w:t xml:space="preserve"> and fiduciary financial statement</w:t>
            </w:r>
            <w:r w:rsidR="00862A99" w:rsidRPr="1974B432">
              <w:rPr>
                <w:rFonts w:ascii="Helv" w:hAnsi="Helv"/>
                <w:snapToGrid w:val="0"/>
                <w:color w:val="000000"/>
                <w:sz w:val="21"/>
                <w:szCs w:val="21"/>
              </w:rPr>
              <w:t xml:space="preserve"> </w:t>
            </w:r>
            <w:r w:rsidR="0081043F" w:rsidRPr="1974B432">
              <w:rPr>
                <w:rFonts w:ascii="Helv" w:hAnsi="Helv"/>
                <w:snapToGrid w:val="0"/>
                <w:color w:val="000000"/>
                <w:sz w:val="21"/>
                <w:szCs w:val="21"/>
              </w:rPr>
              <w:t xml:space="preserve">to </w:t>
            </w:r>
            <w:hyperlink r:id="rId14" w:history="1">
              <w:r w:rsidR="00B13D13" w:rsidRPr="1974B432">
                <w:rPr>
                  <w:rStyle w:val="Hyperlink"/>
                  <w:rFonts w:ascii="Helv" w:hAnsi="Helv"/>
                  <w:snapToGrid w:val="0"/>
                  <w:sz w:val="21"/>
                  <w:szCs w:val="21"/>
                </w:rPr>
                <w:t>OSC Year-End Financial Reporting Packages site</w:t>
              </w:r>
            </w:hyperlink>
            <w:r w:rsidR="00B13D13" w:rsidRPr="1974B432">
              <w:rPr>
                <w:rFonts w:ascii="Helv" w:hAnsi="Helv"/>
                <w:snapToGrid w:val="0"/>
                <w:color w:val="000000"/>
                <w:sz w:val="21"/>
                <w:szCs w:val="21"/>
              </w:rPr>
              <w:t>.</w:t>
            </w:r>
          </w:p>
        </w:tc>
        <w:tc>
          <w:tcPr>
            <w:tcW w:w="1486" w:type="dxa"/>
            <w:gridSpan w:val="2"/>
            <w:tcBorders>
              <w:left w:val="single" w:sz="6" w:space="0" w:color="auto"/>
              <w:right w:val="single" w:sz="6" w:space="0" w:color="auto"/>
            </w:tcBorders>
          </w:tcPr>
          <w:p w14:paraId="6123F058" w14:textId="1F807DEB" w:rsidR="00720E5A" w:rsidRPr="002C1B77" w:rsidRDefault="00720E5A" w:rsidP="00F33966">
            <w:pPr>
              <w:jc w:val="center"/>
              <w:rPr>
                <w:rFonts w:ascii="Helv" w:hAnsi="Helv"/>
                <w:b/>
                <w:snapToGrid w:val="0"/>
                <w:color w:val="000000"/>
                <w:sz w:val="21"/>
              </w:rPr>
            </w:pPr>
            <w:r w:rsidRPr="006C08D4">
              <w:rPr>
                <w:rFonts w:ascii="Helv" w:hAnsi="Helv"/>
                <w:b/>
                <w:snapToGrid w:val="0"/>
                <w:sz w:val="21"/>
              </w:rPr>
              <w:t>9/</w:t>
            </w:r>
            <w:r w:rsidR="00B74EF4">
              <w:rPr>
                <w:rFonts w:ascii="Helv" w:hAnsi="Helv"/>
                <w:b/>
                <w:snapToGrid w:val="0"/>
                <w:sz w:val="21"/>
              </w:rPr>
              <w:t>19</w:t>
            </w:r>
          </w:p>
        </w:tc>
      </w:tr>
      <w:tr w:rsidR="00720E5A" w14:paraId="56AA33C8" w14:textId="77777777" w:rsidTr="0AB179E6">
        <w:trPr>
          <w:trHeight w:val="268"/>
        </w:trPr>
        <w:tc>
          <w:tcPr>
            <w:tcW w:w="565" w:type="dxa"/>
            <w:tcBorders>
              <w:left w:val="single" w:sz="6" w:space="0" w:color="auto"/>
            </w:tcBorders>
          </w:tcPr>
          <w:p w14:paraId="3321550A" w14:textId="77777777" w:rsidR="00720E5A" w:rsidRDefault="00720E5A" w:rsidP="00833F99">
            <w:pPr>
              <w:rPr>
                <w:rFonts w:ascii="Helv" w:hAnsi="Helv"/>
                <w:snapToGrid w:val="0"/>
                <w:color w:val="000000"/>
                <w:sz w:val="21"/>
              </w:rPr>
            </w:pPr>
          </w:p>
        </w:tc>
        <w:tc>
          <w:tcPr>
            <w:tcW w:w="199" w:type="dxa"/>
          </w:tcPr>
          <w:p w14:paraId="20C8250B" w14:textId="77777777" w:rsidR="00720E5A" w:rsidRDefault="00720E5A" w:rsidP="000119BA">
            <w:pPr>
              <w:jc w:val="right"/>
              <w:rPr>
                <w:rFonts w:ascii="Helv" w:hAnsi="Helv"/>
                <w:snapToGrid w:val="0"/>
                <w:color w:val="000000"/>
                <w:sz w:val="21"/>
              </w:rPr>
            </w:pPr>
          </w:p>
        </w:tc>
        <w:tc>
          <w:tcPr>
            <w:tcW w:w="331" w:type="dxa"/>
          </w:tcPr>
          <w:p w14:paraId="3941EA9E" w14:textId="77777777" w:rsidR="00720E5A" w:rsidRDefault="00720E5A" w:rsidP="0081043F">
            <w:pPr>
              <w:rPr>
                <w:rFonts w:ascii="Helv" w:hAnsi="Helv"/>
                <w:snapToGrid w:val="0"/>
                <w:color w:val="000000"/>
                <w:sz w:val="21"/>
              </w:rPr>
            </w:pPr>
          </w:p>
        </w:tc>
        <w:tc>
          <w:tcPr>
            <w:tcW w:w="453" w:type="dxa"/>
          </w:tcPr>
          <w:p w14:paraId="30D27E26" w14:textId="77777777" w:rsidR="00720E5A" w:rsidRDefault="00720E5A" w:rsidP="000119BA">
            <w:pPr>
              <w:jc w:val="right"/>
              <w:rPr>
                <w:rFonts w:ascii="Helv" w:hAnsi="Helv"/>
                <w:snapToGrid w:val="0"/>
                <w:color w:val="000000"/>
                <w:sz w:val="21"/>
              </w:rPr>
            </w:pPr>
          </w:p>
        </w:tc>
        <w:tc>
          <w:tcPr>
            <w:tcW w:w="6842" w:type="dxa"/>
            <w:gridSpan w:val="2"/>
          </w:tcPr>
          <w:p w14:paraId="163E4DFA" w14:textId="77777777" w:rsidR="00720E5A" w:rsidRDefault="00720E5A" w:rsidP="000119BA">
            <w:pPr>
              <w:jc w:val="right"/>
              <w:rPr>
                <w:rFonts w:ascii="Helv" w:hAnsi="Helv"/>
                <w:snapToGrid w:val="0"/>
                <w:color w:val="000000"/>
                <w:sz w:val="21"/>
              </w:rPr>
            </w:pPr>
          </w:p>
        </w:tc>
        <w:tc>
          <w:tcPr>
            <w:tcW w:w="1486" w:type="dxa"/>
            <w:gridSpan w:val="2"/>
            <w:tcBorders>
              <w:left w:val="single" w:sz="6" w:space="0" w:color="auto"/>
              <w:right w:val="single" w:sz="6" w:space="0" w:color="auto"/>
            </w:tcBorders>
          </w:tcPr>
          <w:p w14:paraId="6F421EF3" w14:textId="77777777" w:rsidR="00720E5A" w:rsidRPr="002C1B77" w:rsidRDefault="00720E5A" w:rsidP="000119BA">
            <w:pPr>
              <w:jc w:val="center"/>
              <w:rPr>
                <w:rFonts w:ascii="Helv" w:hAnsi="Helv"/>
                <w:b/>
                <w:snapToGrid w:val="0"/>
                <w:color w:val="000000"/>
                <w:sz w:val="21"/>
              </w:rPr>
            </w:pPr>
          </w:p>
        </w:tc>
      </w:tr>
      <w:tr w:rsidR="00720E5A" w14:paraId="2DC2BEA7" w14:textId="77777777" w:rsidTr="0AB179E6">
        <w:trPr>
          <w:trHeight w:val="268"/>
        </w:trPr>
        <w:tc>
          <w:tcPr>
            <w:tcW w:w="565" w:type="dxa"/>
            <w:tcBorders>
              <w:left w:val="single" w:sz="6" w:space="0" w:color="auto"/>
              <w:bottom w:val="single" w:sz="6" w:space="0" w:color="auto"/>
            </w:tcBorders>
          </w:tcPr>
          <w:p w14:paraId="5A9161E3" w14:textId="77777777" w:rsidR="00720E5A" w:rsidRDefault="00720E5A" w:rsidP="000119BA">
            <w:pPr>
              <w:jc w:val="right"/>
              <w:rPr>
                <w:rFonts w:ascii="Helv" w:hAnsi="Helv"/>
                <w:snapToGrid w:val="0"/>
                <w:color w:val="000000"/>
                <w:sz w:val="21"/>
              </w:rPr>
            </w:pPr>
          </w:p>
        </w:tc>
        <w:tc>
          <w:tcPr>
            <w:tcW w:w="199" w:type="dxa"/>
            <w:tcBorders>
              <w:bottom w:val="single" w:sz="6" w:space="0" w:color="auto"/>
            </w:tcBorders>
          </w:tcPr>
          <w:p w14:paraId="16652054" w14:textId="77777777" w:rsidR="00720E5A" w:rsidRDefault="00720E5A" w:rsidP="000119BA">
            <w:pPr>
              <w:rPr>
                <w:rFonts w:ascii="Helv" w:hAnsi="Helv"/>
                <w:snapToGrid w:val="0"/>
                <w:color w:val="000000"/>
                <w:sz w:val="21"/>
              </w:rPr>
            </w:pPr>
            <w:r>
              <w:rPr>
                <w:rFonts w:ascii="Helv" w:hAnsi="Helv"/>
                <w:snapToGrid w:val="0"/>
                <w:color w:val="000000"/>
                <w:sz w:val="21"/>
              </w:rPr>
              <w:t xml:space="preserve">D. </w:t>
            </w:r>
          </w:p>
        </w:tc>
        <w:tc>
          <w:tcPr>
            <w:tcW w:w="7626" w:type="dxa"/>
            <w:gridSpan w:val="4"/>
            <w:tcBorders>
              <w:bottom w:val="single" w:sz="6" w:space="0" w:color="auto"/>
            </w:tcBorders>
          </w:tcPr>
          <w:p w14:paraId="4095E858" w14:textId="2088DD3B" w:rsidR="004374CF" w:rsidRDefault="00720E5A" w:rsidP="00D17B1E">
            <w:pPr>
              <w:rPr>
                <w:rFonts w:ascii="Helv" w:hAnsi="Helv"/>
                <w:snapToGrid w:val="0"/>
                <w:color w:val="000000"/>
                <w:sz w:val="21"/>
              </w:rPr>
            </w:pPr>
            <w:r>
              <w:rPr>
                <w:rFonts w:ascii="Helv" w:hAnsi="Helv"/>
                <w:snapToGrid w:val="0"/>
                <w:color w:val="000000"/>
                <w:sz w:val="21"/>
              </w:rPr>
              <w:t>Agencies with year-end 6/30</w:t>
            </w:r>
            <w:r w:rsidR="00C9485A">
              <w:rPr>
                <w:rFonts w:ascii="Helv" w:hAnsi="Helv"/>
                <w:snapToGrid w:val="0"/>
                <w:color w:val="000000"/>
                <w:sz w:val="21"/>
              </w:rPr>
              <w:t xml:space="preserve"> (except for the Department of State Treasurer)</w:t>
            </w:r>
            <w:r>
              <w:rPr>
                <w:rFonts w:ascii="Helv" w:hAnsi="Helv"/>
                <w:snapToGrid w:val="0"/>
                <w:color w:val="000000"/>
                <w:sz w:val="21"/>
              </w:rPr>
              <w:t xml:space="preserve"> that are required to </w:t>
            </w:r>
            <w:r w:rsidR="00182785">
              <w:rPr>
                <w:rFonts w:ascii="Helv" w:hAnsi="Helv"/>
                <w:snapToGrid w:val="0"/>
                <w:color w:val="000000"/>
                <w:sz w:val="21"/>
              </w:rPr>
              <w:t>submit an audit report per OSC P</w:t>
            </w:r>
            <w:r>
              <w:rPr>
                <w:rFonts w:ascii="Helv" w:hAnsi="Helv"/>
                <w:snapToGrid w:val="0"/>
                <w:color w:val="000000"/>
                <w:sz w:val="21"/>
              </w:rPr>
              <w:t>olicy</w:t>
            </w:r>
            <w:r w:rsidR="00182785">
              <w:rPr>
                <w:rFonts w:ascii="Helv" w:hAnsi="Helv"/>
                <w:snapToGrid w:val="0"/>
                <w:color w:val="000000"/>
                <w:sz w:val="21"/>
              </w:rPr>
              <w:t xml:space="preserve"> 105.4 Submission of Audit Reports, </w:t>
            </w:r>
            <w:r w:rsidR="00972CC2">
              <w:rPr>
                <w:rFonts w:ascii="Helv" w:hAnsi="Helv"/>
                <w:snapToGrid w:val="0"/>
                <w:color w:val="000000"/>
                <w:sz w:val="21"/>
              </w:rPr>
              <w:t>upload</w:t>
            </w:r>
            <w:r w:rsidR="00182785">
              <w:rPr>
                <w:rFonts w:ascii="Helv" w:hAnsi="Helv"/>
                <w:snapToGrid w:val="0"/>
                <w:color w:val="000000"/>
                <w:sz w:val="21"/>
              </w:rPr>
              <w:t xml:space="preserve"> audit report, T100 </w:t>
            </w:r>
            <w:r>
              <w:rPr>
                <w:rFonts w:ascii="Helv" w:hAnsi="Helv"/>
                <w:snapToGrid w:val="0"/>
                <w:color w:val="000000"/>
                <w:sz w:val="21"/>
              </w:rPr>
              <w:t xml:space="preserve">transmittal form, and the updated </w:t>
            </w:r>
            <w:r w:rsidR="00122616">
              <w:rPr>
                <w:rFonts w:ascii="Helv" w:hAnsi="Helv"/>
                <w:snapToGrid w:val="0"/>
                <w:color w:val="000000"/>
                <w:sz w:val="21"/>
              </w:rPr>
              <w:t xml:space="preserve">ACFR </w:t>
            </w:r>
            <w:r w:rsidRPr="00131D40">
              <w:rPr>
                <w:rFonts w:ascii="Helv" w:hAnsi="Helv"/>
                <w:snapToGrid w:val="0"/>
                <w:color w:val="000000"/>
                <w:sz w:val="21"/>
              </w:rPr>
              <w:t xml:space="preserve">workbook and narratives as applicable </w:t>
            </w:r>
            <w:r>
              <w:rPr>
                <w:rFonts w:ascii="Helv" w:hAnsi="Helv"/>
                <w:snapToGrid w:val="0"/>
                <w:color w:val="000000"/>
                <w:sz w:val="21"/>
              </w:rPr>
              <w:t xml:space="preserve">to </w:t>
            </w:r>
            <w:hyperlink r:id="rId15" w:history="1">
              <w:r w:rsidR="00B13D13">
                <w:rPr>
                  <w:rStyle w:val="Hyperlink"/>
                  <w:rFonts w:ascii="Helv" w:hAnsi="Helv"/>
                  <w:snapToGrid w:val="0"/>
                  <w:sz w:val="21"/>
                </w:rPr>
                <w:t>OSC Year-End Financial Reporting Packages site</w:t>
              </w:r>
            </w:hyperlink>
            <w:r w:rsidR="0081043F">
              <w:rPr>
                <w:rFonts w:ascii="Helv" w:hAnsi="Helv"/>
                <w:snapToGrid w:val="0"/>
                <w:color w:val="000000"/>
                <w:sz w:val="21"/>
              </w:rPr>
              <w:t xml:space="preserve">. </w:t>
            </w:r>
            <w:r w:rsidR="00874773">
              <w:rPr>
                <w:rFonts w:ascii="Helv" w:hAnsi="Helv"/>
                <w:snapToGrid w:val="0"/>
                <w:color w:val="000000"/>
                <w:sz w:val="21"/>
              </w:rPr>
              <w:t>(</w:t>
            </w:r>
            <w:r w:rsidR="0081043F">
              <w:rPr>
                <w:rFonts w:ascii="Helv" w:hAnsi="Helv"/>
                <w:snapToGrid w:val="0"/>
                <w:color w:val="000000"/>
                <w:sz w:val="21"/>
              </w:rPr>
              <w:t>DST</w:t>
            </w:r>
            <w:r w:rsidR="00874773">
              <w:rPr>
                <w:rFonts w:ascii="Helv" w:hAnsi="Helv"/>
                <w:snapToGrid w:val="0"/>
                <w:color w:val="000000"/>
                <w:sz w:val="21"/>
              </w:rPr>
              <w:t>’s</w:t>
            </w:r>
            <w:r w:rsidR="0081043F">
              <w:rPr>
                <w:rFonts w:ascii="Helv" w:hAnsi="Helv"/>
                <w:snapToGrid w:val="0"/>
                <w:color w:val="000000"/>
                <w:sz w:val="21"/>
              </w:rPr>
              <w:t xml:space="preserve"> deadline</w:t>
            </w:r>
            <w:r w:rsidR="00874773">
              <w:rPr>
                <w:rFonts w:ascii="Helv" w:hAnsi="Helv"/>
                <w:snapToGrid w:val="0"/>
                <w:color w:val="000000"/>
                <w:sz w:val="21"/>
              </w:rPr>
              <w:t xml:space="preserve"> is</w:t>
            </w:r>
            <w:r w:rsidR="0081043F">
              <w:rPr>
                <w:rFonts w:ascii="Helv" w:hAnsi="Helv"/>
                <w:snapToGrid w:val="0"/>
                <w:color w:val="000000"/>
                <w:sz w:val="21"/>
              </w:rPr>
              <w:t xml:space="preserve"> 10/1</w:t>
            </w:r>
            <w:r w:rsidR="00FD025F">
              <w:rPr>
                <w:rFonts w:ascii="Helv" w:hAnsi="Helv"/>
                <w:snapToGrid w:val="0"/>
                <w:color w:val="000000"/>
                <w:sz w:val="21"/>
              </w:rPr>
              <w:t>5</w:t>
            </w:r>
            <w:r w:rsidR="00874773">
              <w:rPr>
                <w:rFonts w:ascii="Helv" w:hAnsi="Helv"/>
                <w:snapToGrid w:val="0"/>
                <w:color w:val="000000"/>
                <w:sz w:val="21"/>
              </w:rPr>
              <w:t>)</w:t>
            </w:r>
          </w:p>
        </w:tc>
        <w:tc>
          <w:tcPr>
            <w:tcW w:w="1486" w:type="dxa"/>
            <w:gridSpan w:val="2"/>
            <w:tcBorders>
              <w:left w:val="single" w:sz="6" w:space="0" w:color="auto"/>
              <w:bottom w:val="single" w:sz="6" w:space="0" w:color="auto"/>
              <w:right w:val="single" w:sz="6" w:space="0" w:color="auto"/>
            </w:tcBorders>
          </w:tcPr>
          <w:p w14:paraId="51FF49CA" w14:textId="77777777" w:rsidR="00720E5A" w:rsidRDefault="003E392D" w:rsidP="000119BA">
            <w:pPr>
              <w:jc w:val="center"/>
              <w:rPr>
                <w:rFonts w:ascii="Helv" w:hAnsi="Helv"/>
                <w:b/>
                <w:snapToGrid w:val="0"/>
                <w:color w:val="000000"/>
                <w:sz w:val="21"/>
              </w:rPr>
            </w:pPr>
            <w:r>
              <w:rPr>
                <w:rFonts w:ascii="Helv" w:hAnsi="Helv"/>
                <w:b/>
                <w:snapToGrid w:val="0"/>
                <w:color w:val="000000"/>
                <w:sz w:val="21"/>
              </w:rPr>
              <w:t>9/</w:t>
            </w:r>
            <w:r w:rsidR="001158DA">
              <w:rPr>
                <w:rFonts w:ascii="Helv" w:hAnsi="Helv"/>
                <w:b/>
                <w:snapToGrid w:val="0"/>
                <w:color w:val="000000"/>
                <w:sz w:val="21"/>
              </w:rPr>
              <w:t>30</w:t>
            </w:r>
          </w:p>
          <w:p w14:paraId="49BEB1B5" w14:textId="77777777" w:rsidR="004374CF" w:rsidRDefault="004374CF" w:rsidP="000119BA">
            <w:pPr>
              <w:jc w:val="center"/>
              <w:rPr>
                <w:rFonts w:ascii="Helv" w:hAnsi="Helv"/>
                <w:b/>
                <w:snapToGrid w:val="0"/>
                <w:color w:val="000000"/>
                <w:sz w:val="21"/>
              </w:rPr>
            </w:pPr>
          </w:p>
          <w:p w14:paraId="33B4591A" w14:textId="77777777" w:rsidR="00C9485A" w:rsidRDefault="00C9485A" w:rsidP="000119BA">
            <w:pPr>
              <w:jc w:val="center"/>
              <w:rPr>
                <w:rFonts w:ascii="Helv" w:hAnsi="Helv"/>
                <w:b/>
                <w:snapToGrid w:val="0"/>
                <w:color w:val="000000"/>
                <w:sz w:val="21"/>
              </w:rPr>
            </w:pPr>
          </w:p>
          <w:p w14:paraId="28CB06F3" w14:textId="77777777" w:rsidR="00C9485A" w:rsidRDefault="00C9485A" w:rsidP="000119BA">
            <w:pPr>
              <w:jc w:val="center"/>
              <w:rPr>
                <w:rFonts w:ascii="Helv" w:hAnsi="Helv"/>
                <w:b/>
                <w:snapToGrid w:val="0"/>
                <w:color w:val="000000"/>
                <w:sz w:val="21"/>
              </w:rPr>
            </w:pPr>
          </w:p>
          <w:p w14:paraId="0FD65D37" w14:textId="636AD021" w:rsidR="004374CF" w:rsidRPr="002C1B77" w:rsidRDefault="004374CF" w:rsidP="000119BA">
            <w:pPr>
              <w:jc w:val="center"/>
              <w:rPr>
                <w:rFonts w:ascii="Helv" w:hAnsi="Helv"/>
                <w:b/>
                <w:snapToGrid w:val="0"/>
                <w:color w:val="000000"/>
                <w:sz w:val="21"/>
              </w:rPr>
            </w:pPr>
          </w:p>
        </w:tc>
      </w:tr>
    </w:tbl>
    <w:p w14:paraId="2318E4F0" w14:textId="77777777" w:rsidR="00853C84" w:rsidRDefault="00853C84" w:rsidP="00F24E32">
      <w:pPr>
        <w:pStyle w:val="Heading3"/>
        <w:spacing w:line="240" w:lineRule="auto"/>
        <w:jc w:val="left"/>
        <w:rPr>
          <w:rFonts w:ascii="Arial" w:hAnsi="Arial"/>
          <w:u w:val="single"/>
        </w:rPr>
      </w:pPr>
    </w:p>
    <w:p w14:paraId="498D3BEB" w14:textId="77777777" w:rsidR="00FC1F94" w:rsidRPr="00453525" w:rsidRDefault="00FC1F94" w:rsidP="00453525"/>
    <w:p w14:paraId="10E7321C" w14:textId="77777777" w:rsidR="00FC1F94" w:rsidRDefault="00FC1F94" w:rsidP="00F24E32">
      <w:pPr>
        <w:pStyle w:val="Heading3"/>
        <w:spacing w:line="240" w:lineRule="auto"/>
        <w:jc w:val="left"/>
        <w:rPr>
          <w:rFonts w:ascii="Arial" w:hAnsi="Arial"/>
          <w:u w:val="single"/>
        </w:rPr>
      </w:pPr>
    </w:p>
    <w:p w14:paraId="0D137D9E" w14:textId="52974963" w:rsidR="00F24E32" w:rsidRPr="00F24E32" w:rsidRDefault="00F24E32" w:rsidP="00F24E32">
      <w:pPr>
        <w:pStyle w:val="Heading3"/>
        <w:spacing w:line="240" w:lineRule="auto"/>
        <w:jc w:val="left"/>
        <w:rPr>
          <w:rFonts w:ascii="Arial" w:hAnsi="Arial"/>
          <w:u w:val="single"/>
        </w:rPr>
      </w:pPr>
      <w:r w:rsidRPr="00F24E32">
        <w:rPr>
          <w:rFonts w:ascii="Arial" w:hAnsi="Arial"/>
          <w:u w:val="single"/>
        </w:rPr>
        <w:t>Oper</w:t>
      </w:r>
      <w:r w:rsidR="00FB0571">
        <w:rPr>
          <w:rFonts w:ascii="Arial" w:hAnsi="Arial"/>
          <w:u w:val="single"/>
        </w:rPr>
        <w:t>ating indicators by function (10</w:t>
      </w:r>
      <w:r w:rsidRPr="00F24E32">
        <w:rPr>
          <w:rFonts w:ascii="Arial" w:hAnsi="Arial"/>
          <w:u w:val="single"/>
        </w:rPr>
        <w:t>5)</w:t>
      </w:r>
    </w:p>
    <w:p w14:paraId="3FC6D33E" w14:textId="77777777" w:rsidR="00F24E32" w:rsidRDefault="00F24E32" w:rsidP="00F24E32"/>
    <w:p w14:paraId="49A2B7E1" w14:textId="26E0A6B9" w:rsidR="00F24E32" w:rsidRDefault="00F24E32" w:rsidP="00F24E32">
      <w:pPr>
        <w:rPr>
          <w:rFonts w:ascii="Arial" w:hAnsi="Arial" w:cs="Arial"/>
        </w:rPr>
      </w:pPr>
      <w:r w:rsidRPr="00C91099">
        <w:rPr>
          <w:rFonts w:ascii="Arial" w:hAnsi="Arial" w:cs="Arial"/>
        </w:rPr>
        <w:lastRenderedPageBreak/>
        <w:t>GASB 44 requirement of operating indicators presented within the statistical section. If applicable to your agency</w:t>
      </w:r>
      <w:r w:rsidR="00572085" w:rsidRPr="00C91099">
        <w:rPr>
          <w:rFonts w:ascii="Arial" w:hAnsi="Arial" w:cs="Arial"/>
        </w:rPr>
        <w:t>,</w:t>
      </w:r>
      <w:r w:rsidRPr="00C91099">
        <w:rPr>
          <w:rFonts w:ascii="Arial" w:hAnsi="Arial" w:cs="Arial"/>
        </w:rPr>
        <w:t xml:space="preserve"> provide statistical information for </w:t>
      </w:r>
      <w:r w:rsidR="00382DB5" w:rsidRPr="00C91099">
        <w:rPr>
          <w:rFonts w:ascii="Arial" w:hAnsi="Arial" w:cs="Arial"/>
        </w:rPr>
        <w:t xml:space="preserve">the </w:t>
      </w:r>
      <w:r w:rsidRPr="00C91099">
        <w:rPr>
          <w:rFonts w:ascii="Arial" w:hAnsi="Arial" w:cs="Arial"/>
        </w:rPr>
        <w:t>current fiscal year as indicated on the worksheet.</w:t>
      </w:r>
      <w:r w:rsidR="00686A75" w:rsidRPr="00686A75">
        <w:rPr>
          <w:rFonts w:ascii="Arial" w:hAnsi="Arial"/>
        </w:rPr>
        <w:t xml:space="preserve"> </w:t>
      </w:r>
      <w:r w:rsidR="00686A75">
        <w:rPr>
          <w:rFonts w:ascii="Arial" w:hAnsi="Arial"/>
        </w:rPr>
        <w:t>If significant changes from the prior year occur in the counts, provide explanations for the changes at the bottom of the worksheet. If additional space is needed for explanations, use the Explanations tab of the package.</w:t>
      </w:r>
      <w:r w:rsidR="00686A75">
        <w:rPr>
          <w:rFonts w:ascii="Arial" w:hAnsi="Arial" w:cs="Arial"/>
        </w:rPr>
        <w:t xml:space="preserve"> </w:t>
      </w:r>
    </w:p>
    <w:p w14:paraId="02752216" w14:textId="77777777" w:rsidR="008F11EC" w:rsidRDefault="008F11EC" w:rsidP="00F24E32">
      <w:pPr>
        <w:rPr>
          <w:rFonts w:ascii="Arial" w:hAnsi="Arial" w:cs="Arial"/>
        </w:rPr>
      </w:pPr>
    </w:p>
    <w:p w14:paraId="62A95652" w14:textId="3F394A23" w:rsidR="00A925AD" w:rsidRDefault="2AB66249" w:rsidP="00A925AD">
      <w:pPr>
        <w:pStyle w:val="Heading3"/>
        <w:spacing w:line="240" w:lineRule="auto"/>
        <w:jc w:val="left"/>
        <w:rPr>
          <w:rFonts w:ascii="Arial" w:hAnsi="Arial"/>
          <w:u w:val="single"/>
          <w:lang w:val="en-US"/>
        </w:rPr>
      </w:pPr>
      <w:r w:rsidRPr="72CF22B2">
        <w:rPr>
          <w:rFonts w:ascii="Arial" w:hAnsi="Arial"/>
          <w:u w:val="single"/>
          <w:lang w:val="en-US"/>
        </w:rPr>
        <w:t>Public-Private and Public-Public Partnership</w:t>
      </w:r>
      <w:r w:rsidR="00A925AD" w:rsidRPr="72CF22B2">
        <w:rPr>
          <w:rFonts w:ascii="Arial" w:hAnsi="Arial"/>
          <w:u w:val="single"/>
          <w:lang w:val="en-US"/>
        </w:rPr>
        <w:t xml:space="preserve"> arrangements</w:t>
      </w:r>
      <w:r w:rsidR="00A925AD" w:rsidRPr="72CF22B2">
        <w:rPr>
          <w:rFonts w:ascii="Arial" w:hAnsi="Arial"/>
          <w:u w:val="single"/>
        </w:rPr>
        <w:t xml:space="preserve"> (1</w:t>
      </w:r>
      <w:r w:rsidR="00A925AD" w:rsidRPr="72CF22B2">
        <w:rPr>
          <w:rFonts w:ascii="Arial" w:hAnsi="Arial"/>
          <w:u w:val="single"/>
          <w:lang w:val="en-US"/>
        </w:rPr>
        <w:t>1</w:t>
      </w:r>
      <w:r w:rsidR="00A925AD" w:rsidRPr="72CF22B2">
        <w:rPr>
          <w:rFonts w:ascii="Arial" w:hAnsi="Arial"/>
          <w:u w:val="single"/>
        </w:rPr>
        <w:t>0)</w:t>
      </w:r>
    </w:p>
    <w:p w14:paraId="156167B4" w14:textId="77777777" w:rsidR="00A925AD" w:rsidRDefault="00A925AD" w:rsidP="00A925AD">
      <w:pPr>
        <w:rPr>
          <w:lang w:eastAsia="x-none"/>
        </w:rPr>
      </w:pPr>
    </w:p>
    <w:p w14:paraId="54D41BB0" w14:textId="5381633B" w:rsidR="004F0A79" w:rsidRPr="00693993" w:rsidRDefault="00A925AD" w:rsidP="004F0A79">
      <w:pPr>
        <w:rPr>
          <w:rFonts w:ascii="Arial" w:hAnsi="Arial" w:cs="Arial"/>
        </w:rPr>
      </w:pPr>
      <w:r>
        <w:rPr>
          <w:rFonts w:ascii="Arial" w:hAnsi="Arial" w:cs="Arial"/>
          <w:lang w:eastAsia="x-none"/>
        </w:rPr>
        <w:t xml:space="preserve">GASB </w:t>
      </w:r>
      <w:r w:rsidR="003E4CED">
        <w:rPr>
          <w:rFonts w:ascii="Arial" w:hAnsi="Arial" w:cs="Arial"/>
          <w:lang w:eastAsia="x-none"/>
        </w:rPr>
        <w:t>94</w:t>
      </w:r>
      <w:r>
        <w:rPr>
          <w:rFonts w:ascii="Arial" w:hAnsi="Arial" w:cs="Arial"/>
          <w:lang w:eastAsia="x-none"/>
        </w:rPr>
        <w:t xml:space="preserve"> requires disclosure of information related to </w:t>
      </w:r>
      <w:r w:rsidR="003E4CED">
        <w:rPr>
          <w:rFonts w:ascii="Arial" w:hAnsi="Arial" w:cs="Arial"/>
          <w:lang w:eastAsia="x-none"/>
        </w:rPr>
        <w:t xml:space="preserve">public-private and public-public partnership </w:t>
      </w:r>
      <w:r w:rsidR="00971FBE">
        <w:rPr>
          <w:rFonts w:ascii="Arial" w:hAnsi="Arial" w:cs="Arial"/>
          <w:lang w:eastAsia="x-none"/>
        </w:rPr>
        <w:t>(P</w:t>
      </w:r>
      <w:r w:rsidR="006B43D7">
        <w:rPr>
          <w:rFonts w:ascii="Arial" w:hAnsi="Arial" w:cs="Arial"/>
          <w:lang w:eastAsia="x-none"/>
        </w:rPr>
        <w:t>PP</w:t>
      </w:r>
      <w:r w:rsidR="00971FBE">
        <w:rPr>
          <w:rFonts w:ascii="Arial" w:hAnsi="Arial" w:cs="Arial"/>
          <w:lang w:eastAsia="x-none"/>
        </w:rPr>
        <w:t xml:space="preserve">) </w:t>
      </w:r>
      <w:r w:rsidR="003E4CED">
        <w:rPr>
          <w:rFonts w:ascii="Arial" w:hAnsi="Arial" w:cs="Arial"/>
          <w:lang w:eastAsia="x-none"/>
        </w:rPr>
        <w:t>arrangement</w:t>
      </w:r>
      <w:r w:rsidR="00971FBE">
        <w:rPr>
          <w:rFonts w:ascii="Arial" w:hAnsi="Arial" w:cs="Arial"/>
          <w:lang w:eastAsia="x-none"/>
        </w:rPr>
        <w:t>s</w:t>
      </w:r>
      <w:r>
        <w:rPr>
          <w:rFonts w:ascii="Arial" w:hAnsi="Arial" w:cs="Arial"/>
          <w:lang w:eastAsia="x-none"/>
        </w:rPr>
        <w:t xml:space="preserve">.  Review criteria on </w:t>
      </w:r>
      <w:r w:rsidR="0052092C">
        <w:rPr>
          <w:rFonts w:ascii="Arial" w:hAnsi="Arial" w:cs="Arial"/>
          <w:lang w:eastAsia="x-none"/>
        </w:rPr>
        <w:t xml:space="preserve">the </w:t>
      </w:r>
      <w:r>
        <w:rPr>
          <w:rFonts w:ascii="Arial" w:hAnsi="Arial" w:cs="Arial"/>
          <w:lang w:eastAsia="x-none"/>
        </w:rPr>
        <w:t xml:space="preserve">worksheet to determine if </w:t>
      </w:r>
      <w:r w:rsidR="00694115">
        <w:rPr>
          <w:rFonts w:ascii="Arial" w:hAnsi="Arial" w:cs="Arial"/>
          <w:lang w:eastAsia="x-none"/>
        </w:rPr>
        <w:t>your agency has a</w:t>
      </w:r>
      <w:r w:rsidR="00971FBE">
        <w:rPr>
          <w:rFonts w:ascii="Arial" w:hAnsi="Arial" w:cs="Arial"/>
          <w:lang w:eastAsia="x-none"/>
        </w:rPr>
        <w:t xml:space="preserve"> P</w:t>
      </w:r>
      <w:r w:rsidR="006B43D7">
        <w:rPr>
          <w:rFonts w:ascii="Arial" w:hAnsi="Arial" w:cs="Arial"/>
          <w:lang w:eastAsia="x-none"/>
        </w:rPr>
        <w:t>PP</w:t>
      </w:r>
      <w:r w:rsidR="00261489">
        <w:rPr>
          <w:rFonts w:ascii="Arial" w:hAnsi="Arial" w:cs="Arial"/>
          <w:lang w:eastAsia="x-none"/>
        </w:rPr>
        <w:t xml:space="preserve"> arrangement</w:t>
      </w:r>
      <w:r w:rsidR="00325EF5">
        <w:rPr>
          <w:rFonts w:ascii="Arial" w:hAnsi="Arial" w:cs="Arial"/>
          <w:lang w:eastAsia="x-none"/>
        </w:rPr>
        <w:t xml:space="preserve"> to report.</w:t>
      </w:r>
      <w:r w:rsidR="004F0A79">
        <w:rPr>
          <w:rFonts w:ascii="Arial" w:hAnsi="Arial" w:cs="Arial"/>
          <w:lang w:eastAsia="x-none"/>
        </w:rPr>
        <w:t xml:space="preserve">  </w:t>
      </w:r>
      <w:r w:rsidR="004F0A79">
        <w:rPr>
          <w:rFonts w:ascii="Arial" w:hAnsi="Arial" w:cs="Arial"/>
        </w:rPr>
        <w:t xml:space="preserve">If you answer yes to this worksheet, you will also need to complete the related </w:t>
      </w:r>
      <w:r w:rsidR="000271D6">
        <w:rPr>
          <w:rFonts w:ascii="Arial" w:hAnsi="Arial" w:cs="Arial"/>
          <w:b/>
          <w:u w:val="single"/>
        </w:rPr>
        <w:t>ACFR</w:t>
      </w:r>
      <w:r w:rsidR="004F0A79" w:rsidRPr="00003DA0">
        <w:rPr>
          <w:rFonts w:ascii="Arial" w:hAnsi="Arial" w:cs="Arial"/>
          <w:b/>
          <w:u w:val="single"/>
        </w:rPr>
        <w:t xml:space="preserve"> Package Narrative</w:t>
      </w:r>
      <w:r w:rsidR="004F0A79">
        <w:rPr>
          <w:rFonts w:ascii="Arial" w:hAnsi="Arial" w:cs="Arial"/>
        </w:rPr>
        <w:t xml:space="preserve"> disclosure.</w:t>
      </w:r>
    </w:p>
    <w:p w14:paraId="68370AB9" w14:textId="77777777" w:rsidR="00CD7315" w:rsidRPr="00DB395C" w:rsidRDefault="00CD7315" w:rsidP="00DB395C">
      <w:pPr>
        <w:pStyle w:val="Heading3"/>
        <w:spacing w:line="240" w:lineRule="auto"/>
        <w:jc w:val="left"/>
        <w:rPr>
          <w:rFonts w:ascii="Arial" w:hAnsi="Arial"/>
          <w:u w:val="single"/>
          <w:lang w:val="en-US"/>
        </w:rPr>
      </w:pPr>
    </w:p>
    <w:p w14:paraId="22A3489B" w14:textId="77777777" w:rsidR="00CD7315" w:rsidRPr="00DB395C" w:rsidRDefault="00CD7315" w:rsidP="00DB395C">
      <w:pPr>
        <w:pStyle w:val="Heading3"/>
        <w:spacing w:line="240" w:lineRule="auto"/>
        <w:jc w:val="left"/>
        <w:rPr>
          <w:rFonts w:ascii="Arial" w:hAnsi="Arial"/>
          <w:u w:val="single"/>
          <w:lang w:val="en-US"/>
        </w:rPr>
      </w:pPr>
      <w:r w:rsidRPr="00DB395C">
        <w:rPr>
          <w:rFonts w:ascii="Arial" w:hAnsi="Arial"/>
          <w:u w:val="single"/>
          <w:lang w:val="en-US"/>
        </w:rPr>
        <w:t>G</w:t>
      </w:r>
      <w:r w:rsidR="00DB395C">
        <w:rPr>
          <w:rFonts w:ascii="Arial" w:hAnsi="Arial"/>
          <w:u w:val="single"/>
          <w:lang w:val="en-US"/>
        </w:rPr>
        <w:t>overnment</w:t>
      </w:r>
      <w:r w:rsidRPr="00DB395C">
        <w:rPr>
          <w:rFonts w:ascii="Arial" w:hAnsi="Arial"/>
          <w:u w:val="single"/>
          <w:lang w:val="en-US"/>
        </w:rPr>
        <w:t xml:space="preserve"> C</w:t>
      </w:r>
      <w:r w:rsidR="00DB395C">
        <w:rPr>
          <w:rFonts w:ascii="Arial" w:hAnsi="Arial"/>
          <w:u w:val="single"/>
          <w:lang w:val="en-US"/>
        </w:rPr>
        <w:t>ombinations and</w:t>
      </w:r>
      <w:r w:rsidRPr="00DB395C">
        <w:rPr>
          <w:rFonts w:ascii="Arial" w:hAnsi="Arial"/>
          <w:u w:val="single"/>
          <w:lang w:val="en-US"/>
        </w:rPr>
        <w:t xml:space="preserve"> D</w:t>
      </w:r>
      <w:r w:rsidR="00DB395C">
        <w:rPr>
          <w:rFonts w:ascii="Arial" w:hAnsi="Arial"/>
          <w:u w:val="single"/>
          <w:lang w:val="en-US"/>
        </w:rPr>
        <w:t>isposals</w:t>
      </w:r>
      <w:r w:rsidRPr="00DB395C">
        <w:rPr>
          <w:rFonts w:ascii="Arial" w:hAnsi="Arial"/>
          <w:u w:val="single"/>
          <w:lang w:val="en-US"/>
        </w:rPr>
        <w:t xml:space="preserve"> </w:t>
      </w:r>
      <w:r w:rsidR="00DB395C">
        <w:rPr>
          <w:rFonts w:ascii="Arial" w:hAnsi="Arial"/>
          <w:u w:val="single"/>
          <w:lang w:val="en-US"/>
        </w:rPr>
        <w:t>of</w:t>
      </w:r>
      <w:r w:rsidRPr="00DB395C">
        <w:rPr>
          <w:rFonts w:ascii="Arial" w:hAnsi="Arial"/>
          <w:u w:val="single"/>
          <w:lang w:val="en-US"/>
        </w:rPr>
        <w:t xml:space="preserve"> G</w:t>
      </w:r>
      <w:r w:rsidR="00DB395C">
        <w:rPr>
          <w:rFonts w:ascii="Arial" w:hAnsi="Arial"/>
          <w:u w:val="single"/>
          <w:lang w:val="en-US"/>
        </w:rPr>
        <w:t>overnment</w:t>
      </w:r>
      <w:r w:rsidRPr="00DB395C">
        <w:rPr>
          <w:rFonts w:ascii="Arial" w:hAnsi="Arial"/>
          <w:u w:val="single"/>
          <w:lang w:val="en-US"/>
        </w:rPr>
        <w:t xml:space="preserve"> O</w:t>
      </w:r>
      <w:r w:rsidR="00DB395C">
        <w:rPr>
          <w:rFonts w:ascii="Arial" w:hAnsi="Arial"/>
          <w:u w:val="single"/>
          <w:lang w:val="en-US"/>
        </w:rPr>
        <w:t>perations</w:t>
      </w:r>
      <w:r w:rsidRPr="00DB395C">
        <w:rPr>
          <w:rFonts w:ascii="Arial" w:hAnsi="Arial"/>
          <w:u w:val="single"/>
          <w:lang w:val="en-US"/>
        </w:rPr>
        <w:t xml:space="preserve"> (120)</w:t>
      </w:r>
    </w:p>
    <w:p w14:paraId="6D251D46" w14:textId="77777777" w:rsidR="00CD7315" w:rsidRDefault="00CD7315" w:rsidP="00CD7315">
      <w:pPr>
        <w:rPr>
          <w:rFonts w:ascii="Arial" w:hAnsi="Arial" w:cs="Arial"/>
        </w:rPr>
      </w:pPr>
    </w:p>
    <w:p w14:paraId="43E104C2" w14:textId="720196E6" w:rsidR="00CD7315" w:rsidRPr="00CD7315" w:rsidRDefault="00CD7315" w:rsidP="00CD7315">
      <w:pPr>
        <w:rPr>
          <w:rFonts w:ascii="Arial" w:hAnsi="Arial" w:cs="Arial"/>
        </w:rPr>
      </w:pPr>
      <w:r>
        <w:rPr>
          <w:rFonts w:ascii="Arial" w:hAnsi="Arial" w:cs="Arial"/>
        </w:rPr>
        <w:t xml:space="preserve">GASB 69 requires explanation and proper accounting for government merger or disposal of government operation.  Review worksheet to see if any government combination or disposal applies.  If any answer is yes on this worksheet, related </w:t>
      </w:r>
      <w:r w:rsidR="00C26FFE" w:rsidRPr="00C26FFE">
        <w:rPr>
          <w:rFonts w:ascii="Arial" w:hAnsi="Arial" w:cs="Arial"/>
          <w:b/>
          <w:bCs/>
          <w:u w:val="single"/>
        </w:rPr>
        <w:t xml:space="preserve">ACFR </w:t>
      </w:r>
      <w:r>
        <w:rPr>
          <w:rFonts w:ascii="Arial" w:hAnsi="Arial" w:cs="Arial"/>
          <w:b/>
          <w:u w:val="single"/>
        </w:rPr>
        <w:t>Package Narrative</w:t>
      </w:r>
      <w:r>
        <w:rPr>
          <w:rFonts w:ascii="Arial" w:hAnsi="Arial" w:cs="Arial"/>
        </w:rPr>
        <w:t xml:space="preserve"> disclosure is required.</w:t>
      </w:r>
    </w:p>
    <w:p w14:paraId="2A8069E8" w14:textId="77777777" w:rsidR="00CD7315" w:rsidRDefault="00CD7315" w:rsidP="004F0A79">
      <w:pPr>
        <w:rPr>
          <w:rFonts w:ascii="Arial" w:hAnsi="Arial" w:cs="Arial"/>
        </w:rPr>
      </w:pPr>
    </w:p>
    <w:p w14:paraId="1B6BC48C" w14:textId="77777777" w:rsidR="004E46A3" w:rsidRDefault="004E46A3">
      <w:pPr>
        <w:pStyle w:val="Heading3"/>
        <w:spacing w:line="240" w:lineRule="auto"/>
        <w:jc w:val="left"/>
        <w:rPr>
          <w:rFonts w:ascii="Arial" w:hAnsi="Arial"/>
          <w:u w:val="single"/>
        </w:rPr>
      </w:pPr>
      <w:r>
        <w:rPr>
          <w:rFonts w:ascii="Arial" w:hAnsi="Arial"/>
          <w:u w:val="single"/>
        </w:rPr>
        <w:t>Changes in Capital Assets (</w:t>
      </w:r>
      <w:r>
        <w:rPr>
          <w:rFonts w:ascii="Arial" w:hAnsi="Arial"/>
          <w:smallCaps w:val="0"/>
          <w:u w:val="single"/>
        </w:rPr>
        <w:t>201</w:t>
      </w:r>
      <w:r>
        <w:rPr>
          <w:rFonts w:ascii="Arial" w:hAnsi="Arial"/>
          <w:u w:val="single"/>
        </w:rPr>
        <w:t>)</w:t>
      </w:r>
    </w:p>
    <w:p w14:paraId="23655870" w14:textId="77777777" w:rsidR="00736C1D" w:rsidRDefault="00736C1D" w:rsidP="00736C1D">
      <w:pPr>
        <w:rPr>
          <w:lang w:val="x-none" w:eastAsia="x-none"/>
        </w:rPr>
      </w:pPr>
    </w:p>
    <w:p w14:paraId="5840E45A" w14:textId="5B3713C9" w:rsidR="003B147A" w:rsidRDefault="00D24C5E" w:rsidP="00736C1D">
      <w:pPr>
        <w:rPr>
          <w:rFonts w:ascii="Arial" w:hAnsi="Arial" w:cs="Arial"/>
          <w:lang w:val="x-none" w:eastAsia="x-none"/>
        </w:rPr>
      </w:pPr>
      <w:r w:rsidRPr="00DD7067">
        <w:rPr>
          <w:rFonts w:ascii="Arial" w:hAnsi="Arial" w:cs="Arial"/>
          <w:b/>
          <w:bCs/>
          <w:lang w:val="x-none" w:eastAsia="x-none"/>
        </w:rPr>
        <w:t xml:space="preserve">New This Year- </w:t>
      </w:r>
      <w:r w:rsidR="00736C1D" w:rsidRPr="00DD7067">
        <w:rPr>
          <w:rFonts w:ascii="Arial" w:hAnsi="Arial" w:cs="Arial"/>
          <w:b/>
          <w:bCs/>
          <w:lang w:val="x-none" w:eastAsia="x-none"/>
        </w:rPr>
        <w:t>For NCFS Users</w:t>
      </w:r>
      <w:r w:rsidR="00736C1D" w:rsidRPr="00DD7067">
        <w:rPr>
          <w:rFonts w:ascii="Arial" w:hAnsi="Arial" w:cs="Arial"/>
          <w:lang w:val="x-none" w:eastAsia="x-none"/>
        </w:rPr>
        <w:t>- Please agree FBR Fixed Asset</w:t>
      </w:r>
      <w:r w:rsidR="00DD7067" w:rsidRPr="00DD7067">
        <w:rPr>
          <w:rFonts w:ascii="Arial" w:hAnsi="Arial" w:cs="Arial"/>
          <w:lang w:val="x-none" w:eastAsia="x-none"/>
        </w:rPr>
        <w:t>s</w:t>
      </w:r>
      <w:r w:rsidR="00736C1D" w:rsidRPr="00DD7067">
        <w:rPr>
          <w:rFonts w:ascii="Arial" w:hAnsi="Arial" w:cs="Arial"/>
          <w:lang w:val="x-none" w:eastAsia="x-none"/>
        </w:rPr>
        <w:t xml:space="preserve"> Outbound Interface to FCCS Report (RPT</w:t>
      </w:r>
      <w:r w:rsidRPr="00DD7067">
        <w:rPr>
          <w:rFonts w:ascii="Arial" w:hAnsi="Arial" w:cs="Arial"/>
          <w:lang w:val="x-none" w:eastAsia="x-none"/>
        </w:rPr>
        <w:t>FA006) and the FBR Fixed Assets Begin Balance Outbound Interface to FCCS Report (RPTFA007)</w:t>
      </w:r>
      <w:r w:rsidR="00603268" w:rsidRPr="00DD7067">
        <w:rPr>
          <w:rFonts w:ascii="Arial" w:hAnsi="Arial" w:cs="Arial"/>
          <w:lang w:val="x-none" w:eastAsia="x-none"/>
        </w:rPr>
        <w:t xml:space="preserve"> for FY 2025 activity</w:t>
      </w:r>
      <w:r w:rsidRPr="00DD7067">
        <w:rPr>
          <w:rFonts w:ascii="Arial" w:hAnsi="Arial" w:cs="Arial"/>
          <w:lang w:val="x-none" w:eastAsia="x-none"/>
        </w:rPr>
        <w:t>.</w:t>
      </w:r>
      <w:r w:rsidR="003B147A">
        <w:rPr>
          <w:rFonts w:ascii="Arial" w:hAnsi="Arial" w:cs="Arial"/>
          <w:lang w:val="x-none" w:eastAsia="x-none"/>
        </w:rPr>
        <w:t xml:space="preserve"> The report FA006 contains current year activity and the report FA007 contains beginning balances.</w:t>
      </w:r>
    </w:p>
    <w:p w14:paraId="69874DD4" w14:textId="77777777" w:rsidR="003B147A" w:rsidRDefault="003B147A" w:rsidP="00736C1D">
      <w:pPr>
        <w:rPr>
          <w:rFonts w:ascii="Arial" w:hAnsi="Arial" w:cs="Arial"/>
          <w:lang w:val="x-none" w:eastAsia="x-none"/>
        </w:rPr>
      </w:pPr>
    </w:p>
    <w:p w14:paraId="226699AD" w14:textId="43AEB22E" w:rsidR="00D24C5E" w:rsidRPr="00DD7067" w:rsidRDefault="003B147A" w:rsidP="00736C1D">
      <w:pPr>
        <w:rPr>
          <w:rFonts w:ascii="Arial" w:hAnsi="Arial" w:cs="Arial"/>
          <w:lang w:val="x-none" w:eastAsia="x-none"/>
        </w:rPr>
      </w:pPr>
      <w:r>
        <w:rPr>
          <w:rFonts w:ascii="Arial" w:hAnsi="Arial" w:cs="Arial"/>
          <w:lang w:val="x-none" w:eastAsia="x-none"/>
        </w:rPr>
        <w:t>To complete</w:t>
      </w:r>
      <w:r w:rsidR="00D24C5E" w:rsidRPr="00DD7067">
        <w:rPr>
          <w:rFonts w:ascii="Arial" w:hAnsi="Arial" w:cs="Arial"/>
          <w:lang w:val="x-none" w:eastAsia="x-none"/>
        </w:rPr>
        <w:t xml:space="preserve"> this</w:t>
      </w:r>
      <w:r>
        <w:rPr>
          <w:rFonts w:ascii="Arial" w:hAnsi="Arial" w:cs="Arial"/>
          <w:lang w:val="x-none" w:eastAsia="x-none"/>
        </w:rPr>
        <w:t>,</w:t>
      </w:r>
      <w:r w:rsidR="00D24C5E" w:rsidRPr="00DD7067">
        <w:rPr>
          <w:rFonts w:ascii="Arial" w:hAnsi="Arial" w:cs="Arial"/>
          <w:lang w:val="x-none" w:eastAsia="x-none"/>
        </w:rPr>
        <w:t xml:space="preserve"> you will need to combine the FA006 and the FA007 reports together.  </w:t>
      </w:r>
      <w:r w:rsidR="001C778F">
        <w:rPr>
          <w:rFonts w:ascii="Arial" w:hAnsi="Arial" w:cs="Arial"/>
          <w:lang w:val="x-none" w:eastAsia="x-none"/>
        </w:rPr>
        <w:t xml:space="preserve">Report FA006 represents the current year activity and report FA007 represents the opening balances.  </w:t>
      </w:r>
      <w:r w:rsidR="00D24C5E" w:rsidRPr="00DD7067">
        <w:rPr>
          <w:rFonts w:ascii="Arial" w:hAnsi="Arial" w:cs="Arial"/>
          <w:lang w:val="x-none" w:eastAsia="x-none"/>
        </w:rPr>
        <w:t xml:space="preserve">Please see the </w:t>
      </w:r>
      <w:r>
        <w:rPr>
          <w:rFonts w:ascii="Arial" w:hAnsi="Arial" w:cs="Arial"/>
          <w:lang w:val="x-none" w:eastAsia="x-none"/>
        </w:rPr>
        <w:t xml:space="preserve">    </w:t>
      </w:r>
      <w:r w:rsidR="00D24C5E" w:rsidRPr="00DD7067">
        <w:rPr>
          <w:rFonts w:ascii="Arial" w:hAnsi="Arial" w:cs="Arial"/>
          <w:lang w:val="x-none" w:eastAsia="x-none"/>
        </w:rPr>
        <w:t>link below to the QRG.</w:t>
      </w:r>
    </w:p>
    <w:p w14:paraId="1DE5B17F" w14:textId="77777777" w:rsidR="00D24C5E" w:rsidRPr="00DD7067" w:rsidRDefault="00D24C5E" w:rsidP="00736C1D">
      <w:pPr>
        <w:rPr>
          <w:rFonts w:ascii="Arial" w:hAnsi="Arial" w:cs="Arial"/>
          <w:b/>
          <w:bCs/>
          <w:lang w:val="x-none" w:eastAsia="x-none"/>
        </w:rPr>
      </w:pPr>
    </w:p>
    <w:p w14:paraId="29EC7A06" w14:textId="1E178B64" w:rsidR="00D24C5E" w:rsidRDefault="00D24C5E" w:rsidP="00736C1D">
      <w:pPr>
        <w:rPr>
          <w:rFonts w:ascii="Arial" w:hAnsi="Arial" w:cs="Arial"/>
          <w:lang w:val="x-none" w:eastAsia="x-none"/>
        </w:rPr>
      </w:pPr>
      <w:hyperlink r:id="rId16" w:history="1">
        <w:r w:rsidRPr="00DD7067">
          <w:rPr>
            <w:rStyle w:val="Hyperlink"/>
            <w:rFonts w:ascii="Arial" w:hAnsi="Arial" w:cs="Arial"/>
            <w:lang w:val="x-none" w:eastAsia="x-none"/>
          </w:rPr>
          <w:t>https://www.ncosc.gov/training/ncfs-system-training/ncfs-help-documents/combining-int-fa-006-and-int-fa-007</w:t>
        </w:r>
      </w:hyperlink>
    </w:p>
    <w:p w14:paraId="3DEECEE6" w14:textId="77777777" w:rsidR="00D24C5E" w:rsidRPr="00D24C5E" w:rsidRDefault="00D24C5E" w:rsidP="00736C1D">
      <w:pPr>
        <w:rPr>
          <w:rFonts w:ascii="Arial" w:hAnsi="Arial" w:cs="Arial"/>
          <w:lang w:val="x-none" w:eastAsia="x-none"/>
        </w:rPr>
      </w:pPr>
    </w:p>
    <w:p w14:paraId="1B5C0E2E" w14:textId="287EED24" w:rsidR="00736C1D" w:rsidRPr="00736C1D" w:rsidRDefault="00D24C5E" w:rsidP="00736C1D">
      <w:pPr>
        <w:rPr>
          <w:lang w:val="x-none" w:eastAsia="x-none"/>
        </w:rPr>
      </w:pPr>
      <w:r>
        <w:rPr>
          <w:lang w:val="x-none" w:eastAsia="x-none"/>
        </w:rPr>
        <w:t xml:space="preserve"> </w:t>
      </w:r>
      <w:r w:rsidR="00736C1D">
        <w:rPr>
          <w:lang w:val="x-none" w:eastAsia="x-none"/>
        </w:rPr>
        <w:t xml:space="preserve"> </w:t>
      </w:r>
    </w:p>
    <w:p w14:paraId="105FEB7B" w14:textId="05DDF3F7" w:rsidR="000B5CED" w:rsidRDefault="000B5CED" w:rsidP="3EB90AFA">
      <w:pPr>
        <w:jc w:val="both"/>
        <w:rPr>
          <w:rFonts w:ascii="Arial" w:hAnsi="Arial"/>
          <w:b/>
          <w:bCs/>
        </w:rPr>
      </w:pPr>
      <w:r w:rsidRPr="0BA5E60D">
        <w:rPr>
          <w:rFonts w:ascii="Arial" w:hAnsi="Arial"/>
          <w:b/>
          <w:bCs/>
        </w:rPr>
        <w:t>NA for agencies that have governmental fund assets (GASB 5100) and use the NC</w:t>
      </w:r>
      <w:r w:rsidR="0A63FF9D" w:rsidRPr="0BA5E60D">
        <w:rPr>
          <w:rFonts w:ascii="Arial" w:hAnsi="Arial"/>
          <w:b/>
          <w:bCs/>
        </w:rPr>
        <w:t>FS</w:t>
      </w:r>
      <w:r w:rsidRPr="0BA5E60D">
        <w:rPr>
          <w:rFonts w:ascii="Arial" w:hAnsi="Arial"/>
          <w:b/>
          <w:bCs/>
        </w:rPr>
        <w:t xml:space="preserve"> Fixed Asset </w:t>
      </w:r>
      <w:r w:rsidR="408A51DB" w:rsidRPr="2070C875">
        <w:rPr>
          <w:rFonts w:ascii="Arial" w:hAnsi="Arial"/>
          <w:b/>
          <w:bCs/>
        </w:rPr>
        <w:t>Module</w:t>
      </w:r>
      <w:r w:rsidRPr="0BA5E60D">
        <w:rPr>
          <w:rFonts w:ascii="Arial" w:hAnsi="Arial"/>
          <w:b/>
          <w:bCs/>
        </w:rPr>
        <w:t xml:space="preserve"> </w:t>
      </w:r>
    </w:p>
    <w:p w14:paraId="7ED3C772" w14:textId="1D974CFD" w:rsidR="00617565" w:rsidRDefault="00617565" w:rsidP="000B5CED">
      <w:pPr>
        <w:jc w:val="both"/>
        <w:rPr>
          <w:rFonts w:ascii="Arial" w:hAnsi="Arial"/>
          <w:b/>
        </w:rPr>
      </w:pPr>
    </w:p>
    <w:p w14:paraId="6A4B2938" w14:textId="75A9DFF5" w:rsidR="00687EBC" w:rsidRPr="00651553" w:rsidRDefault="00617565" w:rsidP="000B5CED">
      <w:pPr>
        <w:jc w:val="both"/>
        <w:rPr>
          <w:rFonts w:ascii="Arial" w:hAnsi="Arial"/>
          <w:b/>
        </w:rPr>
      </w:pPr>
      <w:r w:rsidRPr="00651553">
        <w:rPr>
          <w:rFonts w:ascii="Arial" w:hAnsi="Arial"/>
          <w:b/>
        </w:rPr>
        <w:t xml:space="preserve">Worksheet 201 – </w:t>
      </w:r>
      <w:r w:rsidR="00E25DC5" w:rsidRPr="00651553">
        <w:rPr>
          <w:rFonts w:ascii="Arial" w:hAnsi="Arial"/>
          <w:b/>
        </w:rPr>
        <w:t xml:space="preserve">State agencies that report governmental fund assets (GASB 5100):  </w:t>
      </w:r>
      <w:r w:rsidR="00ED0EE4" w:rsidRPr="00651553">
        <w:rPr>
          <w:rFonts w:ascii="Arial" w:hAnsi="Arial"/>
          <w:b/>
        </w:rPr>
        <w:t>A</w:t>
      </w:r>
      <w:r w:rsidR="00E25DC5" w:rsidRPr="00651553">
        <w:rPr>
          <w:rFonts w:ascii="Arial" w:hAnsi="Arial"/>
          <w:b/>
        </w:rPr>
        <w:t>gencies that report governmental fund assets must select a function in the drop-down box and enter the GASB Fund No as 5100.  DOT (Transportation), DPS (Public Safety), Commerce (Economic Development</w:t>
      </w:r>
      <w:r w:rsidR="00060CB2" w:rsidRPr="00651553">
        <w:rPr>
          <w:rFonts w:ascii="Arial" w:hAnsi="Arial"/>
          <w:b/>
        </w:rPr>
        <w:t>)</w:t>
      </w:r>
    </w:p>
    <w:p w14:paraId="55B756D7" w14:textId="758B6572" w:rsidR="00E25DC5" w:rsidRPr="00651553" w:rsidRDefault="00E25DC5" w:rsidP="000B5CED">
      <w:pPr>
        <w:jc w:val="both"/>
        <w:rPr>
          <w:rFonts w:ascii="Arial" w:hAnsi="Arial"/>
          <w:b/>
        </w:rPr>
      </w:pPr>
    </w:p>
    <w:p w14:paraId="7FBFC377" w14:textId="264B28ED" w:rsidR="00E25DC5" w:rsidRDefault="00E25DC5" w:rsidP="000B5CED">
      <w:pPr>
        <w:jc w:val="both"/>
        <w:rPr>
          <w:rFonts w:ascii="Arial" w:hAnsi="Arial"/>
          <w:b/>
        </w:rPr>
      </w:pPr>
      <w:r w:rsidRPr="00651553">
        <w:rPr>
          <w:rFonts w:ascii="Arial" w:hAnsi="Arial"/>
          <w:b/>
        </w:rPr>
        <w:t>State agencies that report internal service funds</w:t>
      </w:r>
      <w:proofErr w:type="gramStart"/>
      <w:r w:rsidRPr="00651553">
        <w:rPr>
          <w:rFonts w:ascii="Arial" w:hAnsi="Arial"/>
          <w:b/>
        </w:rPr>
        <w:t xml:space="preserve">:  </w:t>
      </w:r>
      <w:r w:rsidR="00ED0EE4" w:rsidRPr="00651553">
        <w:rPr>
          <w:rFonts w:ascii="Arial" w:hAnsi="Arial"/>
          <w:b/>
        </w:rPr>
        <w:t>I</w:t>
      </w:r>
      <w:r w:rsidRPr="00651553">
        <w:rPr>
          <w:rFonts w:ascii="Arial" w:hAnsi="Arial"/>
          <w:b/>
        </w:rPr>
        <w:t>nternal</w:t>
      </w:r>
      <w:proofErr w:type="gramEnd"/>
      <w:r w:rsidRPr="00651553">
        <w:rPr>
          <w:rFonts w:ascii="Arial" w:hAnsi="Arial"/>
          <w:b/>
        </w:rPr>
        <w:t xml:space="preserve"> service fund assets must select the General Government function in the drop-down box. DOA (General Government) and DIT (General Government</w:t>
      </w:r>
      <w:r w:rsidR="00060CB2" w:rsidRPr="00651553">
        <w:rPr>
          <w:rFonts w:ascii="Arial" w:hAnsi="Arial"/>
          <w:b/>
        </w:rPr>
        <w:t>)</w:t>
      </w:r>
    </w:p>
    <w:p w14:paraId="2C6DDC59" w14:textId="0DAB0A6B" w:rsidR="001E264D" w:rsidRDefault="001E264D" w:rsidP="000B5CED">
      <w:pPr>
        <w:jc w:val="both"/>
        <w:rPr>
          <w:rFonts w:ascii="Arial" w:hAnsi="Arial"/>
          <w:b/>
        </w:rPr>
      </w:pPr>
    </w:p>
    <w:p w14:paraId="5AB92397" w14:textId="76F5DBE3" w:rsidR="00314CE7" w:rsidRDefault="00314CE7" w:rsidP="000B5CED">
      <w:pPr>
        <w:jc w:val="both"/>
        <w:rPr>
          <w:rFonts w:ascii="Arial" w:hAnsi="Arial"/>
          <w:bCs/>
          <w:color w:val="FF0000"/>
        </w:rPr>
      </w:pPr>
      <w:r w:rsidRPr="008458E7">
        <w:rPr>
          <w:rFonts w:ascii="Arial" w:hAnsi="Arial"/>
          <w:b/>
          <w:color w:val="FF0000"/>
        </w:rPr>
        <w:t>Answer the question on line 11.  This question is appli</w:t>
      </w:r>
      <w:r w:rsidR="008A390B">
        <w:rPr>
          <w:rFonts w:ascii="Arial" w:hAnsi="Arial"/>
          <w:b/>
          <w:color w:val="FF0000"/>
        </w:rPr>
        <w:t>c</w:t>
      </w:r>
      <w:r w:rsidRPr="008458E7">
        <w:rPr>
          <w:rFonts w:ascii="Arial" w:hAnsi="Arial"/>
          <w:b/>
          <w:color w:val="FF0000"/>
        </w:rPr>
        <w:t xml:space="preserve">able to enterprise and internal service funds using the NCFS fixed asset module.  This question should be </w:t>
      </w:r>
      <w:proofErr w:type="gramStart"/>
      <w:r w:rsidRPr="008458E7">
        <w:rPr>
          <w:rFonts w:ascii="Arial" w:hAnsi="Arial"/>
          <w:b/>
          <w:color w:val="FF0000"/>
        </w:rPr>
        <w:t>marked</w:t>
      </w:r>
      <w:proofErr w:type="gramEnd"/>
      <w:r w:rsidRPr="008458E7">
        <w:rPr>
          <w:rFonts w:ascii="Arial" w:hAnsi="Arial"/>
          <w:b/>
          <w:color w:val="FF0000"/>
        </w:rPr>
        <w:t xml:space="preserve"> as NA for offline agencies.  </w:t>
      </w:r>
      <w:r w:rsidRPr="008458E7">
        <w:rPr>
          <w:rFonts w:ascii="Arial" w:hAnsi="Arial"/>
          <w:bCs/>
          <w:color w:val="FF0000"/>
        </w:rPr>
        <w:t>If the question is answered no and the discrepancy is found after the NCFS fixed asset module deadline (July 2</w:t>
      </w:r>
      <w:r w:rsidR="00EF78E2">
        <w:rPr>
          <w:rFonts w:ascii="Arial" w:hAnsi="Arial"/>
          <w:bCs/>
          <w:color w:val="FF0000"/>
        </w:rPr>
        <w:t>8</w:t>
      </w:r>
      <w:r w:rsidR="00815F1E">
        <w:rPr>
          <w:rFonts w:ascii="Arial" w:hAnsi="Arial"/>
          <w:bCs/>
          <w:color w:val="FF0000"/>
        </w:rPr>
        <w:t>th</w:t>
      </w:r>
      <w:r w:rsidRPr="008458E7">
        <w:rPr>
          <w:rFonts w:ascii="Arial" w:hAnsi="Arial"/>
          <w:bCs/>
          <w:color w:val="FF0000"/>
        </w:rPr>
        <w:t>)</w:t>
      </w:r>
      <w:r w:rsidR="004C4840" w:rsidRPr="008458E7">
        <w:rPr>
          <w:rFonts w:ascii="Arial" w:hAnsi="Arial"/>
          <w:bCs/>
          <w:color w:val="FF0000"/>
        </w:rPr>
        <w:t xml:space="preserve">, </w:t>
      </w:r>
      <w:r w:rsidR="004C4840" w:rsidRPr="008458E7">
        <w:rPr>
          <w:rFonts w:ascii="Arial" w:hAnsi="Arial"/>
          <w:b/>
          <w:color w:val="FF0000"/>
          <w:u w:val="single"/>
        </w:rPr>
        <w:t xml:space="preserve">the NCFS agencies should not </w:t>
      </w:r>
      <w:r w:rsidR="004C4840" w:rsidRPr="008458E7">
        <w:rPr>
          <w:rFonts w:ascii="Arial" w:hAnsi="Arial"/>
          <w:bCs/>
          <w:color w:val="FF0000"/>
        </w:rPr>
        <w:t>make any capital asset adjustments to the accrual general ledger if it is below $10 million</w:t>
      </w:r>
      <w:r w:rsidR="008458E7">
        <w:rPr>
          <w:rFonts w:ascii="Arial" w:hAnsi="Arial"/>
          <w:bCs/>
          <w:color w:val="FF0000"/>
        </w:rPr>
        <w:t xml:space="preserve">.  Unless instructed otherwise by OSC, these individual assets below $10 million will be </w:t>
      </w:r>
      <w:proofErr w:type="gramStart"/>
      <w:r w:rsidR="008458E7">
        <w:rPr>
          <w:rFonts w:ascii="Arial" w:hAnsi="Arial"/>
          <w:bCs/>
          <w:color w:val="FF0000"/>
        </w:rPr>
        <w:t>adjustments</w:t>
      </w:r>
      <w:proofErr w:type="gramEnd"/>
      <w:r w:rsidR="008458E7">
        <w:rPr>
          <w:rFonts w:ascii="Arial" w:hAnsi="Arial"/>
          <w:bCs/>
          <w:color w:val="FF0000"/>
        </w:rPr>
        <w:t xml:space="preserve"> to the July 1 balances in the next fiscal year.  If the individual asset adjustment is above $10 million, the agency should contact their OSC analyst.  </w:t>
      </w:r>
      <w:r w:rsidR="008458E7" w:rsidRPr="008458E7">
        <w:rPr>
          <w:rFonts w:ascii="Arial" w:hAnsi="Arial"/>
          <w:bCs/>
          <w:color w:val="FF0000"/>
        </w:rPr>
        <w:t>The OSC analyst will provide the guidance and entries needed to be done in the NCFS fixed asset module and accrual general ledger for FY2</w:t>
      </w:r>
      <w:r w:rsidR="00D97741">
        <w:rPr>
          <w:rFonts w:ascii="Arial" w:hAnsi="Arial"/>
          <w:bCs/>
          <w:color w:val="FF0000"/>
        </w:rPr>
        <w:t>5</w:t>
      </w:r>
      <w:r w:rsidR="008458E7" w:rsidRPr="008458E7">
        <w:rPr>
          <w:rFonts w:ascii="Arial" w:hAnsi="Arial"/>
          <w:bCs/>
          <w:color w:val="FF0000"/>
        </w:rPr>
        <w:t xml:space="preserve"> and FY2</w:t>
      </w:r>
      <w:r w:rsidR="00D97741">
        <w:rPr>
          <w:rFonts w:ascii="Arial" w:hAnsi="Arial"/>
          <w:bCs/>
          <w:color w:val="FF0000"/>
        </w:rPr>
        <w:t>6</w:t>
      </w:r>
      <w:r w:rsidR="008458E7" w:rsidRPr="008458E7">
        <w:rPr>
          <w:rFonts w:ascii="Arial" w:hAnsi="Arial"/>
          <w:bCs/>
          <w:color w:val="FF0000"/>
        </w:rPr>
        <w:t>. </w:t>
      </w:r>
      <w:r w:rsidR="004C4840" w:rsidRPr="008458E7">
        <w:rPr>
          <w:rFonts w:ascii="Arial" w:hAnsi="Arial"/>
          <w:bCs/>
          <w:color w:val="FF0000"/>
        </w:rPr>
        <w:t xml:space="preserve"> </w:t>
      </w:r>
      <w:r w:rsidR="00143D63">
        <w:rPr>
          <w:rFonts w:ascii="Arial" w:hAnsi="Arial"/>
          <w:bCs/>
          <w:color w:val="FF0000"/>
        </w:rPr>
        <w:t>A few other reminders for NCFS fixed asset module users:</w:t>
      </w:r>
    </w:p>
    <w:p w14:paraId="367E1224" w14:textId="77777777" w:rsidR="00143D63" w:rsidRDefault="00143D63" w:rsidP="000B5CED">
      <w:pPr>
        <w:jc w:val="both"/>
        <w:rPr>
          <w:rFonts w:ascii="Arial" w:hAnsi="Arial"/>
          <w:bCs/>
          <w:color w:val="FF0000"/>
        </w:rPr>
      </w:pPr>
    </w:p>
    <w:p w14:paraId="32A99BCB" w14:textId="1928D5F7" w:rsidR="00143D63" w:rsidRPr="00143D63" w:rsidRDefault="00143D63" w:rsidP="00143D63">
      <w:pPr>
        <w:pStyle w:val="ListParagraph"/>
        <w:numPr>
          <w:ilvl w:val="0"/>
          <w:numId w:val="46"/>
        </w:numPr>
        <w:rPr>
          <w:rFonts w:ascii="Arial" w:eastAsia="Times New Roman" w:hAnsi="Arial"/>
          <w:color w:val="FF0000"/>
          <w:sz w:val="20"/>
          <w:szCs w:val="20"/>
        </w:rPr>
      </w:pPr>
      <w:r w:rsidRPr="00143D63">
        <w:rPr>
          <w:rFonts w:ascii="Arial" w:eastAsia="Times New Roman" w:hAnsi="Arial"/>
          <w:color w:val="FF0000"/>
          <w:sz w:val="20"/>
          <w:szCs w:val="20"/>
        </w:rPr>
        <w:lastRenderedPageBreak/>
        <w:t>All fixed asset activity (acquisitions, retirements, cost adjustments, and transfers) for FY 202</w:t>
      </w:r>
      <w:r w:rsidR="008A390B">
        <w:rPr>
          <w:rFonts w:ascii="Arial" w:eastAsia="Times New Roman" w:hAnsi="Arial"/>
          <w:color w:val="FF0000"/>
          <w:sz w:val="20"/>
          <w:szCs w:val="20"/>
        </w:rPr>
        <w:t>5</w:t>
      </w:r>
      <w:r w:rsidRPr="00143D63">
        <w:rPr>
          <w:rFonts w:ascii="Arial" w:eastAsia="Times New Roman" w:hAnsi="Arial"/>
          <w:color w:val="FF0000"/>
          <w:sz w:val="20"/>
          <w:szCs w:val="20"/>
        </w:rPr>
        <w:t xml:space="preserve"> must be completed by July 2</w:t>
      </w:r>
      <w:r w:rsidR="008A390B">
        <w:rPr>
          <w:rFonts w:ascii="Arial" w:eastAsia="Times New Roman" w:hAnsi="Arial"/>
          <w:color w:val="FF0000"/>
          <w:sz w:val="20"/>
          <w:szCs w:val="20"/>
        </w:rPr>
        <w:t>8</w:t>
      </w:r>
      <w:r w:rsidR="00413C49">
        <w:rPr>
          <w:rFonts w:ascii="Arial" w:eastAsia="Times New Roman" w:hAnsi="Arial"/>
          <w:color w:val="FF0000"/>
          <w:sz w:val="20"/>
          <w:szCs w:val="20"/>
        </w:rPr>
        <w:t>th</w:t>
      </w:r>
      <w:r w:rsidRPr="00143D63">
        <w:rPr>
          <w:rFonts w:ascii="Arial" w:eastAsia="Times New Roman" w:hAnsi="Arial"/>
          <w:color w:val="FF0000"/>
          <w:sz w:val="20"/>
          <w:szCs w:val="20"/>
        </w:rPr>
        <w:t xml:space="preserve">.  This includes reviewing and updating your SBITA and </w:t>
      </w:r>
      <w:proofErr w:type="gramStart"/>
      <w:r w:rsidRPr="00143D63">
        <w:rPr>
          <w:rFonts w:ascii="Arial" w:eastAsia="Times New Roman" w:hAnsi="Arial"/>
          <w:color w:val="FF0000"/>
          <w:sz w:val="20"/>
          <w:szCs w:val="20"/>
        </w:rPr>
        <w:t>lease</w:t>
      </w:r>
      <w:proofErr w:type="gramEnd"/>
      <w:r w:rsidRPr="00143D63">
        <w:rPr>
          <w:rFonts w:ascii="Arial" w:eastAsia="Times New Roman" w:hAnsi="Arial"/>
          <w:color w:val="FF0000"/>
          <w:sz w:val="20"/>
          <w:szCs w:val="20"/>
        </w:rPr>
        <w:t xml:space="preserve"> assets</w:t>
      </w:r>
      <w:r w:rsidR="006770ED">
        <w:rPr>
          <w:rFonts w:ascii="Arial" w:eastAsia="Times New Roman" w:hAnsi="Arial"/>
          <w:color w:val="FF0000"/>
          <w:sz w:val="20"/>
          <w:szCs w:val="20"/>
        </w:rPr>
        <w:t>’</w:t>
      </w:r>
      <w:r w:rsidRPr="00143D63">
        <w:rPr>
          <w:rFonts w:ascii="Arial" w:eastAsia="Times New Roman" w:hAnsi="Arial"/>
          <w:color w:val="FF0000"/>
          <w:sz w:val="20"/>
          <w:szCs w:val="20"/>
        </w:rPr>
        <w:t xml:space="preserve"> useful lives.  Activity for your capital assets should be reviewed and verified using the FBR Fixed Assets Outbound Interface to FCCS Report (RPTFA06) and your capital asset’s useful lives can be reviewed and verified using the NC SWCAP Assets Report (RPTFA008).</w:t>
      </w:r>
    </w:p>
    <w:p w14:paraId="2FCA84A0" w14:textId="77777777" w:rsidR="00143D63" w:rsidRPr="00143D63" w:rsidRDefault="00143D63" w:rsidP="00143D63">
      <w:pPr>
        <w:pStyle w:val="ListParagraph"/>
        <w:rPr>
          <w:rFonts w:ascii="Arial" w:eastAsia="Times New Roman" w:hAnsi="Arial"/>
          <w:color w:val="FF0000"/>
          <w:sz w:val="20"/>
          <w:szCs w:val="20"/>
        </w:rPr>
      </w:pPr>
    </w:p>
    <w:p w14:paraId="1F9516D1" w14:textId="436B1861" w:rsidR="00143D63" w:rsidRPr="00143D63" w:rsidRDefault="00143D63" w:rsidP="00143D63">
      <w:pPr>
        <w:pStyle w:val="ListParagraph"/>
        <w:numPr>
          <w:ilvl w:val="0"/>
          <w:numId w:val="46"/>
        </w:numPr>
        <w:rPr>
          <w:rFonts w:ascii="Arial" w:eastAsia="Times New Roman" w:hAnsi="Arial"/>
          <w:color w:val="FF0000"/>
          <w:sz w:val="20"/>
          <w:szCs w:val="20"/>
        </w:rPr>
      </w:pPr>
      <w:r w:rsidRPr="00143D63">
        <w:rPr>
          <w:rFonts w:ascii="Arial" w:eastAsia="Times New Roman" w:hAnsi="Arial"/>
          <w:color w:val="FF0000"/>
          <w:sz w:val="20"/>
          <w:szCs w:val="20"/>
        </w:rPr>
        <w:t>All proprietary funds (enterprise GASB 25xx0G and internal service funds GASB 27xx0G) should not make any entries directly to the accrual general ledger to correct capital asset account balances (capital asset costs, accumulated depreciation, and/or depreciation accounts).  This is because the NCFS fixed asset module interfaces with this ledger, ensuring accuracy.  If account balances in the accrual general ledger are not correct, adjustments must be made in the NCFS fixed asset module.</w:t>
      </w:r>
    </w:p>
    <w:p w14:paraId="35991CE1" w14:textId="77777777" w:rsidR="00143D63" w:rsidRPr="00143D63" w:rsidRDefault="00143D63" w:rsidP="00143D63">
      <w:pPr>
        <w:pStyle w:val="ListParagraph"/>
        <w:rPr>
          <w:rFonts w:ascii="Arial" w:eastAsia="Times New Roman" w:hAnsi="Arial"/>
          <w:color w:val="FF0000"/>
          <w:sz w:val="20"/>
          <w:szCs w:val="20"/>
        </w:rPr>
      </w:pPr>
    </w:p>
    <w:p w14:paraId="074ECBB7" w14:textId="00EFD51D" w:rsidR="00143D63" w:rsidRPr="00143D63" w:rsidRDefault="00143D63" w:rsidP="00143D63">
      <w:pPr>
        <w:pStyle w:val="ListParagraph"/>
        <w:numPr>
          <w:ilvl w:val="0"/>
          <w:numId w:val="46"/>
        </w:numPr>
        <w:rPr>
          <w:rFonts w:ascii="Arial" w:eastAsia="Times New Roman" w:hAnsi="Arial"/>
          <w:color w:val="FF0000"/>
          <w:sz w:val="20"/>
          <w:szCs w:val="20"/>
        </w:rPr>
      </w:pPr>
      <w:r w:rsidRPr="00143D63">
        <w:rPr>
          <w:rFonts w:ascii="Arial" w:eastAsia="Times New Roman" w:hAnsi="Arial"/>
          <w:color w:val="FF0000"/>
          <w:sz w:val="20"/>
          <w:szCs w:val="20"/>
        </w:rPr>
        <w:t>If material assets/adjustments ($10 million or above for individual asset/adjustments) are identified after the NCFS fixed asset module deadline (July 2</w:t>
      </w:r>
      <w:r w:rsidR="00815F1E">
        <w:rPr>
          <w:rFonts w:ascii="Arial" w:eastAsia="Times New Roman" w:hAnsi="Arial"/>
          <w:color w:val="FF0000"/>
          <w:sz w:val="20"/>
          <w:szCs w:val="20"/>
        </w:rPr>
        <w:t>8</w:t>
      </w:r>
      <w:r w:rsidR="00691CAD">
        <w:rPr>
          <w:rFonts w:ascii="Arial" w:eastAsia="Times New Roman" w:hAnsi="Arial"/>
          <w:color w:val="FF0000"/>
          <w:sz w:val="20"/>
          <w:szCs w:val="20"/>
        </w:rPr>
        <w:t>th</w:t>
      </w:r>
      <w:r w:rsidRPr="00143D63">
        <w:rPr>
          <w:rFonts w:ascii="Arial" w:eastAsia="Times New Roman" w:hAnsi="Arial"/>
          <w:color w:val="FF0000"/>
          <w:sz w:val="20"/>
          <w:szCs w:val="20"/>
        </w:rPr>
        <w:t>, 2024), the agency should notify their OSC analyst as soon as identified.  The agency should also answer questions/identify them on the ACFR package worksheets (201 &amp; 203 worksheets).  The OSC analyst will provide the guidance and entries needed to be done in the NCFS fixed asset module and accrual general ledger for FY2</w:t>
      </w:r>
      <w:r w:rsidR="00691CAD">
        <w:rPr>
          <w:rFonts w:ascii="Arial" w:eastAsia="Times New Roman" w:hAnsi="Arial"/>
          <w:color w:val="FF0000"/>
          <w:sz w:val="20"/>
          <w:szCs w:val="20"/>
        </w:rPr>
        <w:t>5</w:t>
      </w:r>
      <w:r w:rsidRPr="00143D63">
        <w:rPr>
          <w:rFonts w:ascii="Arial" w:eastAsia="Times New Roman" w:hAnsi="Arial"/>
          <w:color w:val="FF0000"/>
          <w:sz w:val="20"/>
          <w:szCs w:val="20"/>
        </w:rPr>
        <w:t xml:space="preserve"> and FY2</w:t>
      </w:r>
      <w:r w:rsidR="00691CAD">
        <w:rPr>
          <w:rFonts w:ascii="Arial" w:eastAsia="Times New Roman" w:hAnsi="Arial"/>
          <w:color w:val="FF0000"/>
          <w:sz w:val="20"/>
          <w:szCs w:val="20"/>
        </w:rPr>
        <w:t>6</w:t>
      </w:r>
      <w:r w:rsidRPr="00143D63">
        <w:rPr>
          <w:rFonts w:ascii="Arial" w:eastAsia="Times New Roman" w:hAnsi="Arial"/>
          <w:color w:val="FF0000"/>
          <w:sz w:val="20"/>
          <w:szCs w:val="20"/>
        </w:rPr>
        <w:t xml:space="preserve">.  These entries will ensure the NCFS fixed asset module, NCFS accrual general ledger, and ACFR compilation records stay in balance.  </w:t>
      </w:r>
    </w:p>
    <w:p w14:paraId="6EF1C08F" w14:textId="77777777" w:rsidR="00143D63" w:rsidRPr="00143D63" w:rsidRDefault="00143D63" w:rsidP="00143D63">
      <w:pPr>
        <w:pStyle w:val="ListParagraph"/>
        <w:jc w:val="both"/>
        <w:rPr>
          <w:rFonts w:ascii="Arial" w:hAnsi="Arial"/>
          <w:bCs/>
          <w:color w:val="FF0000"/>
        </w:rPr>
      </w:pPr>
    </w:p>
    <w:p w14:paraId="4AD97F23" w14:textId="77777777" w:rsidR="000B5CED" w:rsidRDefault="000B5CED" w:rsidP="000B5CED">
      <w:pPr>
        <w:jc w:val="both"/>
        <w:rPr>
          <w:rFonts w:ascii="Arial" w:hAnsi="Arial"/>
        </w:rPr>
      </w:pPr>
    </w:p>
    <w:p w14:paraId="14EF3710" w14:textId="77777777" w:rsidR="000B5CED" w:rsidRPr="000B5CED" w:rsidRDefault="000B5CED" w:rsidP="000B5CED">
      <w:pPr>
        <w:jc w:val="both"/>
        <w:rPr>
          <w:rFonts w:ascii="Arial" w:hAnsi="Arial"/>
        </w:rPr>
      </w:pPr>
      <w:r w:rsidRPr="000B5CED">
        <w:rPr>
          <w:rFonts w:ascii="Arial" w:hAnsi="Arial"/>
          <w:b/>
        </w:rPr>
        <w:t xml:space="preserve">Balance </w:t>
      </w:r>
      <w:proofErr w:type="gramStart"/>
      <w:r w:rsidRPr="000B5CED">
        <w:rPr>
          <w:rFonts w:ascii="Arial" w:hAnsi="Arial"/>
          <w:b/>
        </w:rPr>
        <w:t>at</w:t>
      </w:r>
      <w:proofErr w:type="gramEnd"/>
      <w:r w:rsidRPr="000B5CED">
        <w:rPr>
          <w:rFonts w:ascii="Arial" w:hAnsi="Arial"/>
          <w:b/>
        </w:rPr>
        <w:t xml:space="preserve"> June 30, (Prior Year) </w:t>
      </w:r>
      <w:r w:rsidRPr="000B5CED">
        <w:rPr>
          <w:rFonts w:ascii="Arial" w:hAnsi="Arial"/>
        </w:rPr>
        <w:t>Balance per Trial Balance</w:t>
      </w:r>
    </w:p>
    <w:p w14:paraId="6AC5DD83" w14:textId="00747421" w:rsidR="00366F3B" w:rsidRDefault="006F699E" w:rsidP="000B5CED">
      <w:pPr>
        <w:jc w:val="both"/>
        <w:rPr>
          <w:rFonts w:ascii="Arial" w:hAnsi="Arial"/>
        </w:rPr>
      </w:pPr>
      <w:r>
        <w:rPr>
          <w:rFonts w:ascii="Arial" w:hAnsi="Arial"/>
          <w:b/>
        </w:rPr>
        <w:t>Adjustment to July 1</w:t>
      </w:r>
      <w:r w:rsidR="0021248B">
        <w:rPr>
          <w:rFonts w:ascii="Arial" w:hAnsi="Arial"/>
          <w:b/>
        </w:rPr>
        <w:t xml:space="preserve"> Balance</w:t>
      </w:r>
      <w:r w:rsidR="000B5CED" w:rsidRPr="000B5CED">
        <w:rPr>
          <w:rFonts w:ascii="Arial" w:hAnsi="Arial"/>
          <w:b/>
        </w:rPr>
        <w:t xml:space="preserve"> - </w:t>
      </w:r>
      <w:r w:rsidR="000B5CED" w:rsidRPr="000B5CED">
        <w:rPr>
          <w:rFonts w:ascii="Arial" w:hAnsi="Arial"/>
        </w:rPr>
        <w:t xml:space="preserve">If there are any </w:t>
      </w:r>
      <w:r w:rsidR="00FF7017">
        <w:rPr>
          <w:rFonts w:ascii="Arial" w:hAnsi="Arial"/>
        </w:rPr>
        <w:t>adjustments</w:t>
      </w:r>
      <w:r w:rsidR="00F62B7B">
        <w:rPr>
          <w:rFonts w:ascii="Arial" w:hAnsi="Arial"/>
        </w:rPr>
        <w:t xml:space="preserve"> to the beginning balance</w:t>
      </w:r>
      <w:r w:rsidR="000B5CED" w:rsidRPr="000B5CED">
        <w:rPr>
          <w:rFonts w:ascii="Arial" w:hAnsi="Arial"/>
        </w:rPr>
        <w:t>, make sure worksheets 430 and 431 are completed.</w:t>
      </w:r>
      <w:r w:rsidR="00A3517D">
        <w:rPr>
          <w:rFonts w:ascii="Arial" w:hAnsi="Arial"/>
        </w:rPr>
        <w:t xml:space="preserve">  </w:t>
      </w:r>
    </w:p>
    <w:p w14:paraId="38201005" w14:textId="5E3D493E" w:rsidR="000B5CED" w:rsidRPr="000B5CED" w:rsidRDefault="000B5CED" w:rsidP="000B5CED">
      <w:pPr>
        <w:jc w:val="both"/>
        <w:rPr>
          <w:rFonts w:ascii="Arial" w:hAnsi="Arial"/>
          <w:b/>
        </w:rPr>
      </w:pPr>
    </w:p>
    <w:p w14:paraId="411353ED" w14:textId="77777777" w:rsidR="000B5CED" w:rsidRPr="000B5CED" w:rsidRDefault="000B5CED" w:rsidP="000B5CED">
      <w:pPr>
        <w:jc w:val="both"/>
        <w:rPr>
          <w:rFonts w:ascii="Arial" w:hAnsi="Arial"/>
        </w:rPr>
      </w:pPr>
      <w:r w:rsidRPr="000B5CED">
        <w:rPr>
          <w:rFonts w:ascii="Arial" w:hAnsi="Arial"/>
          <w:b/>
        </w:rPr>
        <w:t xml:space="preserve">Current Year Transfer of Assets - </w:t>
      </w:r>
      <w:r w:rsidRPr="000B5CED">
        <w:rPr>
          <w:rFonts w:ascii="Arial" w:hAnsi="Arial"/>
        </w:rPr>
        <w:t xml:space="preserve">Two columns (Assets Transferred </w:t>
      </w:r>
      <w:proofErr w:type="gramStart"/>
      <w:r w:rsidRPr="000B5CED">
        <w:rPr>
          <w:rFonts w:ascii="Arial" w:hAnsi="Arial"/>
        </w:rPr>
        <w:t>In</w:t>
      </w:r>
      <w:proofErr w:type="gramEnd"/>
      <w:r w:rsidRPr="000B5CED">
        <w:rPr>
          <w:rFonts w:ascii="Arial" w:hAnsi="Arial"/>
        </w:rPr>
        <w:t xml:space="preserve"> and Assets Transferred Out) to include the following types of transfers</w:t>
      </w:r>
    </w:p>
    <w:p w14:paraId="1D878936" w14:textId="29152532" w:rsidR="000B5CED" w:rsidRPr="000B5CED" w:rsidRDefault="000B5CED" w:rsidP="008C6CCD">
      <w:pPr>
        <w:jc w:val="both"/>
        <w:rPr>
          <w:rFonts w:ascii="Arial" w:hAnsi="Arial"/>
        </w:rPr>
      </w:pPr>
      <w:r w:rsidRPr="000B5CED">
        <w:rPr>
          <w:rFonts w:ascii="Arial" w:hAnsi="Arial"/>
          <w:i/>
          <w:u w:val="single"/>
        </w:rPr>
        <w:t>Between Assets</w:t>
      </w:r>
      <w:proofErr w:type="gramStart"/>
      <w:r w:rsidRPr="000B5CED">
        <w:rPr>
          <w:rFonts w:ascii="Arial" w:hAnsi="Arial"/>
          <w:i/>
          <w:u w:val="single"/>
        </w:rPr>
        <w:t xml:space="preserve">:  </w:t>
      </w:r>
      <w:r w:rsidRPr="000B5CED">
        <w:rPr>
          <w:rFonts w:ascii="Arial" w:hAnsi="Arial"/>
        </w:rPr>
        <w:t>Assets</w:t>
      </w:r>
      <w:proofErr w:type="gramEnd"/>
      <w:r w:rsidRPr="000B5CED">
        <w:rPr>
          <w:rFonts w:ascii="Arial" w:hAnsi="Arial"/>
        </w:rPr>
        <w:t xml:space="preserve"> transferred from one asset type to another asset type during the current fiscal year.  (</w:t>
      </w:r>
      <w:r w:rsidRPr="000B5CED">
        <w:rPr>
          <w:rFonts w:ascii="Arial" w:hAnsi="Arial"/>
          <w:i/>
        </w:rPr>
        <w:t>Example:</w:t>
      </w:r>
      <w:r w:rsidRPr="000B5CED">
        <w:rPr>
          <w:rFonts w:ascii="Arial" w:hAnsi="Arial"/>
        </w:rPr>
        <w:t xml:space="preserve">   Transfer from </w:t>
      </w:r>
      <w:r w:rsidRPr="000B5CED">
        <w:rPr>
          <w:rFonts w:ascii="Arial" w:hAnsi="Arial"/>
          <w:i/>
        </w:rPr>
        <w:t>Buildings to General Infrastructure.</w:t>
      </w:r>
      <w:r w:rsidRPr="000B5CED">
        <w:rPr>
          <w:rFonts w:ascii="Arial" w:hAnsi="Arial"/>
        </w:rPr>
        <w:t>)</w:t>
      </w:r>
      <w:r w:rsidR="00116CA3">
        <w:rPr>
          <w:rFonts w:ascii="Arial" w:hAnsi="Arial"/>
        </w:rPr>
        <w:t xml:space="preserve">. </w:t>
      </w:r>
      <w:r w:rsidR="00116CA3" w:rsidRPr="000D0A3B">
        <w:rPr>
          <w:rFonts w:ascii="Arial" w:hAnsi="Arial"/>
          <w:color w:val="FF0000"/>
        </w:rPr>
        <w:t xml:space="preserve">The net </w:t>
      </w:r>
      <w:r w:rsidR="00AC4968" w:rsidRPr="000D0A3B">
        <w:rPr>
          <w:rFonts w:ascii="Arial" w:hAnsi="Arial"/>
          <w:color w:val="FF0000"/>
        </w:rPr>
        <w:t xml:space="preserve">transfer in and out </w:t>
      </w:r>
      <w:r w:rsidR="000D0A3B" w:rsidRPr="000D0A3B">
        <w:rPr>
          <w:rFonts w:ascii="Arial" w:hAnsi="Arial"/>
          <w:color w:val="FF0000"/>
        </w:rPr>
        <w:t>should be zero.</w:t>
      </w:r>
    </w:p>
    <w:p w14:paraId="73A7957C" w14:textId="77777777" w:rsidR="000B5CED" w:rsidRPr="000B5CED" w:rsidRDefault="000B5CED" w:rsidP="000B5CED">
      <w:pPr>
        <w:jc w:val="both"/>
        <w:rPr>
          <w:rFonts w:ascii="Arial" w:hAnsi="Arial"/>
        </w:rPr>
      </w:pPr>
      <w:r w:rsidRPr="000B5CED">
        <w:rPr>
          <w:rFonts w:ascii="Arial" w:hAnsi="Arial"/>
          <w:i/>
          <w:u w:val="single"/>
        </w:rPr>
        <w:t>Between GASB Funds (Intra-Agency) and Between GASB Funds and Agencies (Inter-Agency)</w:t>
      </w:r>
      <w:proofErr w:type="gramStart"/>
      <w:r w:rsidRPr="000B5CED">
        <w:rPr>
          <w:rFonts w:ascii="Arial" w:hAnsi="Arial"/>
          <w:i/>
          <w:u w:val="single"/>
        </w:rPr>
        <w:t xml:space="preserve">:  </w:t>
      </w:r>
      <w:r w:rsidRPr="000B5CED">
        <w:rPr>
          <w:rFonts w:ascii="Arial" w:hAnsi="Arial"/>
        </w:rPr>
        <w:t>Assets</w:t>
      </w:r>
      <w:proofErr w:type="gramEnd"/>
      <w:r w:rsidRPr="000B5CED">
        <w:rPr>
          <w:rFonts w:ascii="Arial" w:hAnsi="Arial"/>
        </w:rPr>
        <w:t xml:space="preserve"> transferred to/from this GASB fund and another GASB fund </w:t>
      </w:r>
      <w:proofErr w:type="gramStart"/>
      <w:r w:rsidRPr="000B5CED">
        <w:rPr>
          <w:rFonts w:ascii="Arial" w:hAnsi="Arial"/>
        </w:rPr>
        <w:t>and also</w:t>
      </w:r>
      <w:proofErr w:type="gramEnd"/>
      <w:r w:rsidRPr="000B5CED">
        <w:rPr>
          <w:rFonts w:ascii="Arial" w:hAnsi="Arial"/>
        </w:rPr>
        <w:t xml:space="preserve">, transferred to/from your agency and another agency.  </w:t>
      </w:r>
    </w:p>
    <w:p w14:paraId="7F1EB113" w14:textId="77777777" w:rsidR="000B5CED" w:rsidRPr="000B5CED" w:rsidRDefault="000B5CED" w:rsidP="000B5CED">
      <w:pPr>
        <w:jc w:val="both"/>
        <w:rPr>
          <w:rFonts w:ascii="Arial" w:hAnsi="Arial"/>
        </w:rPr>
      </w:pPr>
      <w:r w:rsidRPr="000B5CED">
        <w:rPr>
          <w:rFonts w:ascii="Arial" w:hAnsi="Arial"/>
          <w:i/>
          <w:u w:val="single"/>
        </w:rPr>
        <w:t xml:space="preserve">Between Agencies (Inter-Agency):   </w:t>
      </w:r>
      <w:r w:rsidRPr="000B5CED">
        <w:rPr>
          <w:rFonts w:ascii="Arial" w:hAnsi="Arial"/>
        </w:rPr>
        <w:t>Assets transferred to/from your agency and another agency.  Assets remain within this GASB fund.</w:t>
      </w:r>
    </w:p>
    <w:p w14:paraId="577C2FFE" w14:textId="68AC95BD" w:rsidR="000B5CED" w:rsidRPr="00C1625C" w:rsidRDefault="000B5CED" w:rsidP="000B5CED">
      <w:pPr>
        <w:jc w:val="both"/>
        <w:rPr>
          <w:rFonts w:ascii="Arial" w:hAnsi="Arial"/>
          <w:color w:val="FF0000"/>
        </w:rPr>
      </w:pPr>
      <w:r w:rsidRPr="000B5CED">
        <w:rPr>
          <w:rFonts w:ascii="Arial" w:hAnsi="Arial"/>
          <w:b/>
        </w:rPr>
        <w:t xml:space="preserve">Additions – </w:t>
      </w:r>
      <w:r w:rsidRPr="000B5CED">
        <w:rPr>
          <w:rFonts w:ascii="Arial" w:hAnsi="Arial"/>
        </w:rPr>
        <w:t>Two columns to separate assets additions that were acquired through purchase from those acqui</w:t>
      </w:r>
      <w:r w:rsidR="005A4408">
        <w:rPr>
          <w:rFonts w:ascii="Arial" w:hAnsi="Arial"/>
        </w:rPr>
        <w:t>r</w:t>
      </w:r>
      <w:r w:rsidRPr="000B5CED">
        <w:rPr>
          <w:rFonts w:ascii="Arial" w:hAnsi="Arial"/>
        </w:rPr>
        <w:t>ed by donation.   The purchased additions should include increases in construction in progress.</w:t>
      </w:r>
      <w:r w:rsidR="00E42EDB">
        <w:rPr>
          <w:rFonts w:ascii="Arial" w:hAnsi="Arial"/>
        </w:rPr>
        <w:t xml:space="preserve"> </w:t>
      </w:r>
      <w:r w:rsidR="005A4408" w:rsidRPr="00C1625C">
        <w:rPr>
          <w:rFonts w:ascii="Arial" w:hAnsi="Arial"/>
          <w:color w:val="FF0000"/>
        </w:rPr>
        <w:t xml:space="preserve">The donated additions </w:t>
      </w:r>
      <w:r w:rsidR="00D976A7" w:rsidRPr="00C1625C">
        <w:rPr>
          <w:rFonts w:ascii="Arial" w:hAnsi="Arial"/>
          <w:color w:val="FF0000"/>
        </w:rPr>
        <w:t xml:space="preserve">should be recorded at ‘Donated Assets’ column </w:t>
      </w:r>
      <w:r w:rsidR="00E740EA">
        <w:rPr>
          <w:rFonts w:ascii="Arial" w:hAnsi="Arial"/>
          <w:color w:val="FF0000"/>
        </w:rPr>
        <w:t>for the receiver and donor records at ‘Retirements’ column</w:t>
      </w:r>
      <w:r w:rsidR="004D2962">
        <w:rPr>
          <w:rFonts w:ascii="Arial" w:hAnsi="Arial"/>
          <w:color w:val="FF0000"/>
        </w:rPr>
        <w:t xml:space="preserve">. </w:t>
      </w:r>
    </w:p>
    <w:p w14:paraId="524A1A7C" w14:textId="65CB4104" w:rsidR="000B5CED" w:rsidRPr="000B5CED" w:rsidRDefault="000B5CED" w:rsidP="000B5CED">
      <w:pPr>
        <w:jc w:val="both"/>
        <w:rPr>
          <w:rFonts w:ascii="Arial" w:hAnsi="Arial"/>
        </w:rPr>
      </w:pPr>
      <w:r w:rsidRPr="000B5CED">
        <w:rPr>
          <w:rFonts w:ascii="Arial" w:hAnsi="Arial"/>
          <w:b/>
        </w:rPr>
        <w:t xml:space="preserve">Retirements </w:t>
      </w:r>
      <w:r w:rsidRPr="000B5CED">
        <w:rPr>
          <w:rFonts w:ascii="Arial" w:hAnsi="Arial"/>
        </w:rPr>
        <w:t xml:space="preserve">FY </w:t>
      </w:r>
      <w:r w:rsidR="53A0212B" w:rsidRPr="7B7DCF75">
        <w:rPr>
          <w:rFonts w:ascii="Arial" w:hAnsi="Arial"/>
        </w:rPr>
        <w:t>20</w:t>
      </w:r>
      <w:r w:rsidR="7D694617" w:rsidRPr="7B7DCF75">
        <w:rPr>
          <w:rFonts w:ascii="Arial" w:hAnsi="Arial"/>
        </w:rPr>
        <w:t>2</w:t>
      </w:r>
      <w:r w:rsidR="009B1E28">
        <w:rPr>
          <w:rFonts w:ascii="Arial" w:hAnsi="Arial"/>
        </w:rPr>
        <w:t>5</w:t>
      </w:r>
      <w:r w:rsidRPr="000B5CED">
        <w:rPr>
          <w:rFonts w:ascii="Arial" w:hAnsi="Arial"/>
        </w:rPr>
        <w:t xml:space="preserve"> retirements.  </w:t>
      </w:r>
    </w:p>
    <w:p w14:paraId="7FE6E082" w14:textId="39D12ABA" w:rsidR="000B5CED" w:rsidRPr="000B5CED" w:rsidRDefault="000B5CED" w:rsidP="000B5CED">
      <w:pPr>
        <w:jc w:val="both"/>
        <w:rPr>
          <w:rFonts w:ascii="Arial" w:hAnsi="Arial"/>
        </w:rPr>
      </w:pPr>
      <w:r w:rsidRPr="3EB90AFA">
        <w:rPr>
          <w:rFonts w:ascii="Arial" w:hAnsi="Arial"/>
          <w:b/>
          <w:bCs/>
        </w:rPr>
        <w:t xml:space="preserve">Decrease in CIP – </w:t>
      </w:r>
      <w:r w:rsidRPr="3EB90AFA">
        <w:rPr>
          <w:rFonts w:ascii="Arial" w:hAnsi="Arial"/>
        </w:rPr>
        <w:t xml:space="preserve">This column is used to account for the capitalization of items constructed.  This column must net to zero.  If an asset had </w:t>
      </w:r>
      <w:proofErr w:type="gramStart"/>
      <w:r w:rsidRPr="3EB90AFA">
        <w:rPr>
          <w:rFonts w:ascii="Arial" w:hAnsi="Arial"/>
        </w:rPr>
        <w:t>additional</w:t>
      </w:r>
      <w:proofErr w:type="gramEnd"/>
      <w:r w:rsidRPr="3EB90AFA">
        <w:rPr>
          <w:rFonts w:ascii="Arial" w:hAnsi="Arial"/>
        </w:rPr>
        <w:t xml:space="preserve"> cost during the </w:t>
      </w:r>
      <w:proofErr w:type="gramStart"/>
      <w:r w:rsidRPr="3EB90AFA">
        <w:rPr>
          <w:rFonts w:ascii="Arial" w:hAnsi="Arial"/>
        </w:rPr>
        <w:t>year,</w:t>
      </w:r>
      <w:proofErr w:type="gramEnd"/>
      <w:r w:rsidRPr="3EB90AFA">
        <w:rPr>
          <w:rFonts w:ascii="Arial" w:hAnsi="Arial"/>
        </w:rPr>
        <w:t xml:space="preserve"> before it was capitalized, the additional cost should be included in purchased additions and the total cost should be recorded as a decrease in CIP.  This column should only be used when a project is </w:t>
      </w:r>
      <w:r w:rsidR="649BCC58" w:rsidRPr="3EB90AFA">
        <w:rPr>
          <w:rFonts w:ascii="Arial" w:hAnsi="Arial"/>
        </w:rPr>
        <w:t>complete,</w:t>
      </w:r>
      <w:r w:rsidRPr="3EB90AFA">
        <w:rPr>
          <w:rFonts w:ascii="Arial" w:hAnsi="Arial"/>
        </w:rPr>
        <w:t xml:space="preserve"> and the asset has been put into service.  </w:t>
      </w:r>
    </w:p>
    <w:p w14:paraId="573FD6C8" w14:textId="48716B5C" w:rsidR="000B5CED" w:rsidRPr="000B5CED" w:rsidRDefault="000B5CED" w:rsidP="000B5CED">
      <w:pPr>
        <w:jc w:val="both"/>
        <w:rPr>
          <w:rFonts w:ascii="Arial" w:hAnsi="Arial"/>
        </w:rPr>
      </w:pPr>
      <w:r w:rsidRPr="000B5CED">
        <w:rPr>
          <w:rFonts w:ascii="Arial" w:hAnsi="Arial"/>
          <w:b/>
        </w:rPr>
        <w:t xml:space="preserve">Balance </w:t>
      </w:r>
      <w:proofErr w:type="gramStart"/>
      <w:r w:rsidRPr="000B5CED">
        <w:rPr>
          <w:rFonts w:ascii="Arial" w:hAnsi="Arial"/>
          <w:b/>
        </w:rPr>
        <w:t>at</w:t>
      </w:r>
      <w:proofErr w:type="gramEnd"/>
      <w:r w:rsidRPr="000B5CED">
        <w:rPr>
          <w:rFonts w:ascii="Arial" w:hAnsi="Arial"/>
          <w:b/>
        </w:rPr>
        <w:t xml:space="preserve"> June 30, (Current Year) </w:t>
      </w:r>
      <w:r w:rsidRPr="000B5CED">
        <w:rPr>
          <w:rFonts w:ascii="Arial" w:hAnsi="Arial"/>
        </w:rPr>
        <w:t xml:space="preserve">This balance must equal the </w:t>
      </w:r>
      <w:r w:rsidR="6AEA4785" w:rsidRPr="27196449">
        <w:rPr>
          <w:rFonts w:ascii="Arial" w:hAnsi="Arial"/>
        </w:rPr>
        <w:t>NCFS</w:t>
      </w:r>
      <w:r w:rsidRPr="000B5CED">
        <w:rPr>
          <w:rFonts w:ascii="Arial" w:hAnsi="Arial"/>
        </w:rPr>
        <w:t xml:space="preserve"> general ledger balance and agree to the GASB fund balance sheet.</w:t>
      </w:r>
    </w:p>
    <w:p w14:paraId="471FA4BA" w14:textId="77777777" w:rsidR="000B5CED" w:rsidRPr="000B5CED" w:rsidRDefault="000B5CED" w:rsidP="000B5CED">
      <w:pPr>
        <w:jc w:val="both"/>
        <w:rPr>
          <w:rFonts w:ascii="Arial" w:hAnsi="Arial"/>
        </w:rPr>
      </w:pPr>
    </w:p>
    <w:p w14:paraId="23FF46E5" w14:textId="68DF1C12" w:rsidR="000B5CED" w:rsidRPr="000B5CED" w:rsidRDefault="000B5CED" w:rsidP="000B5CED">
      <w:pPr>
        <w:jc w:val="both"/>
        <w:rPr>
          <w:rFonts w:ascii="Arial" w:hAnsi="Arial"/>
          <w:b/>
        </w:rPr>
      </w:pPr>
      <w:r w:rsidRPr="000B5CED">
        <w:rPr>
          <w:rFonts w:ascii="Arial" w:hAnsi="Arial"/>
          <w:b/>
        </w:rPr>
        <w:t>NC Turnpike Authority:  For each individual project with a CIP, CSID, or PID balance of $25 million or more at 6/30/</w:t>
      </w:r>
      <w:r w:rsidR="53A0212B" w:rsidRPr="7B7DCF75">
        <w:rPr>
          <w:rFonts w:ascii="Arial" w:hAnsi="Arial"/>
          <w:b/>
          <w:bCs/>
        </w:rPr>
        <w:t>20</w:t>
      </w:r>
      <w:r w:rsidR="7D694617" w:rsidRPr="7B7DCF75">
        <w:rPr>
          <w:rFonts w:ascii="Arial" w:hAnsi="Arial"/>
          <w:b/>
          <w:bCs/>
        </w:rPr>
        <w:t>2</w:t>
      </w:r>
      <w:r w:rsidR="009B1E28">
        <w:rPr>
          <w:rFonts w:ascii="Arial" w:hAnsi="Arial"/>
          <w:b/>
          <w:bCs/>
        </w:rPr>
        <w:t>5</w:t>
      </w:r>
      <w:r w:rsidRPr="000B5CED">
        <w:rPr>
          <w:rFonts w:ascii="Arial" w:hAnsi="Arial"/>
          <w:b/>
        </w:rPr>
        <w:t>, please complete the schedule in an attached “</w:t>
      </w:r>
      <w:r w:rsidR="000271D6">
        <w:rPr>
          <w:rFonts w:ascii="Arial" w:hAnsi="Arial"/>
          <w:b/>
        </w:rPr>
        <w:t>ACFR</w:t>
      </w:r>
      <w:r w:rsidRPr="000B5CED">
        <w:rPr>
          <w:rFonts w:ascii="Arial" w:hAnsi="Arial"/>
          <w:b/>
        </w:rPr>
        <w:t xml:space="preserve"> Package Narrative”.  For all remaining projects below the threshold, please provide the total of those projects on the narrative worksheet.  If there are any press releases or other available information for the projects on the agency website, please forward copies with the narrative.  (NA for Component Units) </w:t>
      </w:r>
    </w:p>
    <w:p w14:paraId="134F7212" w14:textId="77777777" w:rsidR="00AD65EA" w:rsidRDefault="00AD65EA">
      <w:pPr>
        <w:jc w:val="both"/>
        <w:rPr>
          <w:rFonts w:ascii="Arial" w:hAnsi="Arial"/>
          <w:b/>
        </w:rPr>
      </w:pPr>
    </w:p>
    <w:p w14:paraId="69D7DCD3" w14:textId="5035A163" w:rsidR="00AD65EA" w:rsidRPr="00DB395C" w:rsidRDefault="00AD65EA" w:rsidP="5D541CEE">
      <w:pPr>
        <w:jc w:val="both"/>
        <w:rPr>
          <w:rFonts w:ascii="Arial" w:hAnsi="Arial"/>
          <w:b/>
          <w:bCs/>
          <w:sz w:val="24"/>
          <w:szCs w:val="24"/>
          <w:u w:val="single"/>
          <w:lang w:val="x-none"/>
        </w:rPr>
      </w:pPr>
      <w:r w:rsidRPr="5D541CEE">
        <w:rPr>
          <w:rFonts w:ascii="Arial" w:hAnsi="Arial"/>
          <w:b/>
          <w:bCs/>
          <w:smallCaps/>
          <w:sz w:val="24"/>
          <w:szCs w:val="24"/>
          <w:u w:val="single"/>
        </w:rPr>
        <w:t>G</w:t>
      </w:r>
      <w:r w:rsidR="00DB395C" w:rsidRPr="5D541CEE">
        <w:rPr>
          <w:rFonts w:ascii="Arial" w:hAnsi="Arial"/>
          <w:b/>
          <w:bCs/>
          <w:smallCaps/>
          <w:sz w:val="24"/>
          <w:szCs w:val="24"/>
          <w:u w:val="single"/>
        </w:rPr>
        <w:t xml:space="preserve">overnmental </w:t>
      </w:r>
      <w:r w:rsidR="008A5A0D" w:rsidRPr="5D541CEE">
        <w:rPr>
          <w:rFonts w:ascii="Arial" w:hAnsi="Arial"/>
          <w:b/>
          <w:bCs/>
          <w:smallCaps/>
          <w:sz w:val="24"/>
          <w:szCs w:val="24"/>
          <w:u w:val="single"/>
        </w:rPr>
        <w:t>F</w:t>
      </w:r>
      <w:r w:rsidR="00DB395C" w:rsidRPr="5D541CEE">
        <w:rPr>
          <w:rFonts w:ascii="Arial" w:hAnsi="Arial"/>
          <w:b/>
          <w:bCs/>
          <w:smallCaps/>
          <w:sz w:val="24"/>
          <w:szCs w:val="24"/>
          <w:u w:val="single"/>
        </w:rPr>
        <w:t>und</w:t>
      </w:r>
      <w:r w:rsidR="008A5A0D" w:rsidRPr="5D541CEE">
        <w:rPr>
          <w:rFonts w:ascii="Arial" w:hAnsi="Arial"/>
          <w:b/>
          <w:bCs/>
          <w:smallCaps/>
          <w:sz w:val="24"/>
          <w:szCs w:val="24"/>
          <w:u w:val="single"/>
        </w:rPr>
        <w:t xml:space="preserve"> C</w:t>
      </w:r>
      <w:r w:rsidR="00DB395C" w:rsidRPr="5D541CEE">
        <w:rPr>
          <w:rFonts w:ascii="Arial" w:hAnsi="Arial"/>
          <w:b/>
          <w:bCs/>
          <w:smallCaps/>
          <w:sz w:val="24"/>
          <w:szCs w:val="24"/>
          <w:u w:val="single"/>
        </w:rPr>
        <w:t>apital</w:t>
      </w:r>
      <w:r w:rsidR="008A5A0D" w:rsidRPr="5D541CEE">
        <w:rPr>
          <w:rFonts w:ascii="Arial" w:hAnsi="Arial"/>
          <w:b/>
          <w:bCs/>
          <w:smallCaps/>
          <w:sz w:val="24"/>
          <w:szCs w:val="24"/>
          <w:u w:val="single"/>
        </w:rPr>
        <w:t xml:space="preserve"> A</w:t>
      </w:r>
      <w:r w:rsidR="00DB395C" w:rsidRPr="5D541CEE">
        <w:rPr>
          <w:rFonts w:ascii="Arial" w:hAnsi="Arial"/>
          <w:b/>
          <w:bCs/>
          <w:smallCaps/>
          <w:sz w:val="24"/>
          <w:szCs w:val="24"/>
          <w:u w:val="single"/>
        </w:rPr>
        <w:t>ssets</w:t>
      </w:r>
      <w:r w:rsidRPr="5D541CEE">
        <w:rPr>
          <w:rFonts w:ascii="Arial" w:hAnsi="Arial"/>
          <w:b/>
          <w:bCs/>
          <w:sz w:val="24"/>
          <w:szCs w:val="24"/>
          <w:u w:val="single"/>
        </w:rPr>
        <w:t xml:space="preserve"> (202)</w:t>
      </w:r>
    </w:p>
    <w:p w14:paraId="193F8503" w14:textId="77777777" w:rsidR="00AD65EA" w:rsidRPr="00AD65EA" w:rsidRDefault="00AD65EA" w:rsidP="00AD65EA">
      <w:pPr>
        <w:jc w:val="both"/>
        <w:rPr>
          <w:rFonts w:ascii="Arial" w:hAnsi="Arial"/>
        </w:rPr>
      </w:pPr>
    </w:p>
    <w:p w14:paraId="34DE8F52" w14:textId="21B8C79E" w:rsidR="00AD65EA" w:rsidRPr="00AD65EA" w:rsidRDefault="00AD65EA" w:rsidP="00AD65EA">
      <w:pPr>
        <w:jc w:val="both"/>
        <w:rPr>
          <w:rFonts w:ascii="Arial" w:hAnsi="Arial"/>
        </w:rPr>
      </w:pPr>
      <w:r w:rsidRPr="00AD65EA">
        <w:rPr>
          <w:rFonts w:ascii="Arial" w:hAnsi="Arial"/>
        </w:rPr>
        <w:lastRenderedPageBreak/>
        <w:t xml:space="preserve">Completed only by agencies that have governmental fund assets and use the </w:t>
      </w:r>
      <w:r w:rsidR="331D2630" w:rsidRPr="2070C875">
        <w:rPr>
          <w:rFonts w:ascii="Arial" w:hAnsi="Arial"/>
        </w:rPr>
        <w:t xml:space="preserve">NCFS </w:t>
      </w:r>
      <w:r w:rsidRPr="00AD65EA">
        <w:rPr>
          <w:rFonts w:ascii="Arial" w:hAnsi="Arial"/>
        </w:rPr>
        <w:t xml:space="preserve">Fixed Asset </w:t>
      </w:r>
      <w:r w:rsidR="23F6EED3" w:rsidRPr="2070C875">
        <w:rPr>
          <w:rFonts w:ascii="Arial" w:hAnsi="Arial"/>
        </w:rPr>
        <w:t>Module</w:t>
      </w:r>
      <w:r w:rsidRPr="2070C875">
        <w:rPr>
          <w:rFonts w:ascii="Arial" w:hAnsi="Arial"/>
        </w:rPr>
        <w:t>.</w:t>
      </w:r>
      <w:r w:rsidRPr="00AD65EA">
        <w:rPr>
          <w:rFonts w:ascii="Arial" w:hAnsi="Arial"/>
        </w:rPr>
        <w:t xml:space="preserve">  NA for agencies not on the </w:t>
      </w:r>
      <w:r w:rsidR="0867743A" w:rsidRPr="2070C875">
        <w:rPr>
          <w:rFonts w:ascii="Arial" w:hAnsi="Arial"/>
        </w:rPr>
        <w:t>NCFS Fixed Asset Module</w:t>
      </w:r>
      <w:r w:rsidRPr="00AD65EA">
        <w:rPr>
          <w:rFonts w:ascii="Arial" w:hAnsi="Arial"/>
        </w:rPr>
        <w:t xml:space="preserve">, proprietary funds and component units.  </w:t>
      </w:r>
    </w:p>
    <w:p w14:paraId="592CFE5A" w14:textId="77777777" w:rsidR="00AD65EA" w:rsidRPr="00AD65EA" w:rsidRDefault="00AD65EA" w:rsidP="00AD65EA">
      <w:pPr>
        <w:jc w:val="both"/>
        <w:rPr>
          <w:rFonts w:ascii="Arial" w:hAnsi="Arial"/>
        </w:rPr>
      </w:pPr>
    </w:p>
    <w:p w14:paraId="2E269A10" w14:textId="1F8183EC" w:rsidR="00AD65EA" w:rsidRPr="00AD65EA" w:rsidRDefault="00AD65EA" w:rsidP="00AD65EA">
      <w:pPr>
        <w:jc w:val="both"/>
        <w:rPr>
          <w:rFonts w:ascii="Arial" w:hAnsi="Arial"/>
        </w:rPr>
      </w:pPr>
      <w:r w:rsidRPr="2D9F1AB4">
        <w:rPr>
          <w:rFonts w:ascii="Arial" w:hAnsi="Arial"/>
          <w:b/>
          <w:bCs/>
        </w:rPr>
        <w:t xml:space="preserve">For agencies that have a Decrease in CIP during the fiscal year, there should be an increase in a fixed asset.  The Decrease in CIP column should net to zero.  The fixed asset should also be added to </w:t>
      </w:r>
      <w:r w:rsidR="5B93F18A" w:rsidRPr="2070C875">
        <w:rPr>
          <w:rFonts w:ascii="Arial" w:hAnsi="Arial"/>
          <w:b/>
          <w:bCs/>
        </w:rPr>
        <w:t xml:space="preserve">the </w:t>
      </w:r>
      <w:r w:rsidR="125005EB" w:rsidRPr="2D9F1AB4">
        <w:rPr>
          <w:rFonts w:ascii="Arial" w:hAnsi="Arial"/>
          <w:b/>
          <w:bCs/>
        </w:rPr>
        <w:t>NCFS</w:t>
      </w:r>
      <w:r w:rsidRPr="2D9F1AB4">
        <w:rPr>
          <w:rFonts w:ascii="Arial" w:hAnsi="Arial"/>
          <w:b/>
          <w:bCs/>
        </w:rPr>
        <w:t xml:space="preserve"> </w:t>
      </w:r>
      <w:r w:rsidRPr="2070C875">
        <w:rPr>
          <w:rFonts w:ascii="Arial" w:hAnsi="Arial"/>
          <w:b/>
          <w:bCs/>
        </w:rPr>
        <w:t>FA</w:t>
      </w:r>
      <w:r w:rsidR="2ACBEE6C" w:rsidRPr="2070C875">
        <w:rPr>
          <w:rFonts w:ascii="Arial" w:hAnsi="Arial"/>
          <w:b/>
          <w:bCs/>
        </w:rPr>
        <w:t xml:space="preserve"> Module</w:t>
      </w:r>
      <w:r w:rsidRPr="2D9F1AB4">
        <w:rPr>
          <w:rFonts w:ascii="Arial" w:hAnsi="Arial"/>
          <w:b/>
          <w:bCs/>
        </w:rPr>
        <w:t xml:space="preserve"> during the fiscal year.  </w:t>
      </w:r>
      <w:r w:rsidRPr="2D9F1AB4">
        <w:rPr>
          <w:rFonts w:ascii="Arial" w:hAnsi="Arial"/>
        </w:rPr>
        <w:t>The columns for</w:t>
      </w:r>
      <w:r w:rsidR="5C429D38" w:rsidRPr="2D9F1AB4">
        <w:rPr>
          <w:rFonts w:ascii="Arial" w:hAnsi="Arial"/>
        </w:rPr>
        <w:t xml:space="preserve"> C</w:t>
      </w:r>
      <w:r w:rsidRPr="2D9F1AB4">
        <w:rPr>
          <w:rFonts w:ascii="Arial" w:hAnsi="Arial"/>
        </w:rPr>
        <w:t>IP are explained as follows:</w:t>
      </w:r>
    </w:p>
    <w:p w14:paraId="19F129B6" w14:textId="6C9F57A2" w:rsidR="00AD65EA" w:rsidRPr="00AD65EA" w:rsidRDefault="00AD65EA" w:rsidP="00AD65EA">
      <w:pPr>
        <w:jc w:val="both"/>
        <w:rPr>
          <w:rFonts w:ascii="Arial" w:hAnsi="Arial"/>
        </w:rPr>
      </w:pPr>
      <w:r w:rsidRPr="00AD65EA">
        <w:rPr>
          <w:rFonts w:ascii="Arial" w:hAnsi="Arial"/>
          <w:b/>
        </w:rPr>
        <w:t>Balance July 1</w:t>
      </w:r>
      <w:r w:rsidRPr="00AD65EA">
        <w:rPr>
          <w:rFonts w:ascii="Arial" w:hAnsi="Arial"/>
        </w:rPr>
        <w:t xml:space="preserve"> – Prior year balance from previous year’s </w:t>
      </w:r>
      <w:r w:rsidR="2949FE77" w:rsidRPr="2070C875">
        <w:rPr>
          <w:rFonts w:ascii="Arial" w:hAnsi="Arial"/>
        </w:rPr>
        <w:t xml:space="preserve">Annual </w:t>
      </w:r>
      <w:r w:rsidRPr="00AD65EA">
        <w:rPr>
          <w:rFonts w:ascii="Arial" w:hAnsi="Arial"/>
        </w:rPr>
        <w:t>C</w:t>
      </w:r>
      <w:r w:rsidR="009E6AD3">
        <w:rPr>
          <w:rFonts w:ascii="Arial" w:hAnsi="Arial"/>
        </w:rPr>
        <w:t xml:space="preserve">omprehensive </w:t>
      </w:r>
      <w:r w:rsidRPr="00AD65EA">
        <w:rPr>
          <w:rFonts w:ascii="Arial" w:hAnsi="Arial"/>
        </w:rPr>
        <w:t>F</w:t>
      </w:r>
      <w:r w:rsidR="009E6AD3">
        <w:rPr>
          <w:rFonts w:ascii="Arial" w:hAnsi="Arial"/>
        </w:rPr>
        <w:t xml:space="preserve">inancial </w:t>
      </w:r>
      <w:r w:rsidRPr="00AD65EA">
        <w:rPr>
          <w:rFonts w:ascii="Arial" w:hAnsi="Arial"/>
        </w:rPr>
        <w:t>R</w:t>
      </w:r>
      <w:r w:rsidR="009E6AD3">
        <w:rPr>
          <w:rFonts w:ascii="Arial" w:hAnsi="Arial"/>
        </w:rPr>
        <w:t>eport</w:t>
      </w:r>
      <w:r w:rsidRPr="00AD65EA">
        <w:rPr>
          <w:rFonts w:ascii="Arial" w:hAnsi="Arial"/>
        </w:rPr>
        <w:t xml:space="preserve">. </w:t>
      </w:r>
    </w:p>
    <w:p w14:paraId="53D9F30C" w14:textId="75C54BBD" w:rsidR="00AD65EA" w:rsidRPr="00AD65EA" w:rsidRDefault="007C07B8" w:rsidP="00AD65EA">
      <w:pPr>
        <w:jc w:val="both"/>
        <w:rPr>
          <w:rFonts w:ascii="Arial" w:hAnsi="Arial"/>
        </w:rPr>
      </w:pPr>
      <w:r>
        <w:rPr>
          <w:rFonts w:ascii="Arial" w:hAnsi="Arial"/>
          <w:b/>
        </w:rPr>
        <w:t>Adjustments to July 1 Balance</w:t>
      </w:r>
      <w:r w:rsidR="00AD65EA" w:rsidRPr="00AD65EA">
        <w:rPr>
          <w:rFonts w:ascii="Arial" w:hAnsi="Arial"/>
        </w:rPr>
        <w:t xml:space="preserve"> – Used to record errors or adjustments made to CIP that occurred in prior years.</w:t>
      </w:r>
    </w:p>
    <w:p w14:paraId="6B4DFB95" w14:textId="77777777" w:rsidR="00AD65EA" w:rsidRPr="00AD65EA" w:rsidRDefault="00AD65EA" w:rsidP="00AD65EA">
      <w:pPr>
        <w:jc w:val="both"/>
        <w:rPr>
          <w:rFonts w:ascii="Arial" w:hAnsi="Arial"/>
        </w:rPr>
      </w:pPr>
      <w:r w:rsidRPr="00AD65EA">
        <w:rPr>
          <w:rFonts w:ascii="Arial" w:hAnsi="Arial"/>
          <w:b/>
        </w:rPr>
        <w:t>Additions</w:t>
      </w:r>
      <w:r w:rsidRPr="00AD65EA">
        <w:rPr>
          <w:rFonts w:ascii="Arial" w:hAnsi="Arial"/>
        </w:rPr>
        <w:t xml:space="preserve"> – To record current year CIP additions.</w:t>
      </w:r>
    </w:p>
    <w:p w14:paraId="29B9765F" w14:textId="77777777" w:rsidR="00AD65EA" w:rsidRPr="00AD65EA" w:rsidRDefault="00AD65EA" w:rsidP="00AD65EA">
      <w:pPr>
        <w:jc w:val="both"/>
        <w:rPr>
          <w:rFonts w:ascii="Arial" w:hAnsi="Arial"/>
        </w:rPr>
      </w:pPr>
      <w:r w:rsidRPr="00AD65EA">
        <w:rPr>
          <w:rFonts w:ascii="Arial" w:hAnsi="Arial"/>
          <w:b/>
        </w:rPr>
        <w:t>Deletions</w:t>
      </w:r>
      <w:r w:rsidRPr="00AD65EA">
        <w:rPr>
          <w:rFonts w:ascii="Arial" w:hAnsi="Arial"/>
        </w:rPr>
        <w:t xml:space="preserve"> – To record current year deletions of CIP including closed out CI projects or moving from one CI project to another CI project.  </w:t>
      </w:r>
    </w:p>
    <w:p w14:paraId="4AFEDC13" w14:textId="77777777" w:rsidR="00AD65EA" w:rsidRPr="00AD65EA" w:rsidRDefault="00AD65EA" w:rsidP="00AD65EA">
      <w:pPr>
        <w:jc w:val="both"/>
        <w:rPr>
          <w:rFonts w:ascii="Arial" w:hAnsi="Arial"/>
        </w:rPr>
      </w:pPr>
      <w:r w:rsidRPr="00AD65EA">
        <w:rPr>
          <w:rFonts w:ascii="Arial" w:hAnsi="Arial"/>
          <w:b/>
        </w:rPr>
        <w:t>Decrease in CIP</w:t>
      </w:r>
      <w:r w:rsidRPr="00AD65EA">
        <w:rPr>
          <w:rFonts w:ascii="Arial" w:hAnsi="Arial"/>
        </w:rPr>
        <w:t xml:space="preserve"> – To remove completed CI projects from CIP to a fixed asset.</w:t>
      </w:r>
    </w:p>
    <w:p w14:paraId="2E4D9C45" w14:textId="77777777" w:rsidR="00AD65EA" w:rsidRPr="00AD65EA" w:rsidRDefault="00AD65EA" w:rsidP="00AD65EA">
      <w:pPr>
        <w:jc w:val="both"/>
        <w:rPr>
          <w:rFonts w:ascii="Arial" w:hAnsi="Arial"/>
          <w:u w:val="single"/>
        </w:rPr>
      </w:pPr>
      <w:r w:rsidRPr="00AD65EA">
        <w:rPr>
          <w:rFonts w:ascii="Arial" w:hAnsi="Arial"/>
          <w:b/>
        </w:rPr>
        <w:t>Balance June 30</w:t>
      </w:r>
      <w:r w:rsidRPr="00AD65EA">
        <w:rPr>
          <w:rFonts w:ascii="Arial" w:hAnsi="Arial"/>
        </w:rPr>
        <w:t xml:space="preserve"> – Calculated total of CIP activity. </w:t>
      </w:r>
    </w:p>
    <w:p w14:paraId="7270D4F6" w14:textId="77777777" w:rsidR="00AD65EA" w:rsidRPr="00AD65EA" w:rsidRDefault="00AD65EA" w:rsidP="00AD65EA">
      <w:pPr>
        <w:jc w:val="both"/>
        <w:rPr>
          <w:rFonts w:ascii="Arial" w:hAnsi="Arial"/>
        </w:rPr>
      </w:pPr>
      <w:r w:rsidRPr="00AD65EA">
        <w:rPr>
          <w:rFonts w:ascii="Arial" w:hAnsi="Arial"/>
        </w:rPr>
        <w:t>NOTE</w:t>
      </w:r>
      <w:proofErr w:type="gramStart"/>
      <w:r w:rsidRPr="00AD65EA">
        <w:rPr>
          <w:rFonts w:ascii="Arial" w:hAnsi="Arial"/>
        </w:rPr>
        <w:t>:  Transfers</w:t>
      </w:r>
      <w:proofErr w:type="gramEnd"/>
      <w:r w:rsidRPr="00AD65EA">
        <w:rPr>
          <w:rFonts w:ascii="Arial" w:hAnsi="Arial"/>
        </w:rPr>
        <w:t xml:space="preserve"> in and transfers out were removed from the CIP calculation because there should be no transfers in CIP.   </w:t>
      </w:r>
    </w:p>
    <w:p w14:paraId="6DA6CFA9" w14:textId="77777777" w:rsidR="00AD65EA" w:rsidRPr="00AD65EA" w:rsidRDefault="00AD65EA" w:rsidP="00AD65EA">
      <w:pPr>
        <w:jc w:val="both"/>
        <w:rPr>
          <w:rFonts w:ascii="Arial" w:hAnsi="Arial"/>
        </w:rPr>
      </w:pPr>
    </w:p>
    <w:p w14:paraId="33796E9F" w14:textId="3ADC018E" w:rsidR="00AD65EA" w:rsidRDefault="00AD65EA" w:rsidP="00AD65EA">
      <w:pPr>
        <w:jc w:val="both"/>
        <w:rPr>
          <w:rFonts w:ascii="Arial" w:hAnsi="Arial"/>
          <w:b/>
        </w:rPr>
      </w:pPr>
      <w:r w:rsidRPr="00AD65EA">
        <w:rPr>
          <w:rFonts w:ascii="Arial" w:hAnsi="Arial"/>
          <w:b/>
        </w:rPr>
        <w:t>For each individual project with a CIP, CSID, or PID balance of $25 million or more at 6/30/</w:t>
      </w:r>
      <w:r w:rsidR="0C37DC53" w:rsidRPr="7B7DCF75">
        <w:rPr>
          <w:rFonts w:ascii="Arial" w:hAnsi="Arial"/>
          <w:b/>
          <w:bCs/>
        </w:rPr>
        <w:t>20</w:t>
      </w:r>
      <w:r w:rsidR="7D694617" w:rsidRPr="7B7DCF75">
        <w:rPr>
          <w:rFonts w:ascii="Arial" w:hAnsi="Arial"/>
          <w:b/>
          <w:bCs/>
        </w:rPr>
        <w:t>2</w:t>
      </w:r>
      <w:r w:rsidR="00090C25">
        <w:rPr>
          <w:rFonts w:ascii="Arial" w:hAnsi="Arial"/>
          <w:b/>
          <w:bCs/>
        </w:rPr>
        <w:t>5</w:t>
      </w:r>
      <w:r w:rsidRPr="001C00F4">
        <w:rPr>
          <w:rFonts w:ascii="Arial" w:hAnsi="Arial"/>
        </w:rPr>
        <w:t>,</w:t>
      </w:r>
      <w:r w:rsidRPr="00AD65EA">
        <w:rPr>
          <w:rFonts w:ascii="Arial" w:hAnsi="Arial"/>
          <w:b/>
        </w:rPr>
        <w:t xml:space="preserve"> please complete the schedule in an attached “</w:t>
      </w:r>
      <w:r w:rsidR="000271D6">
        <w:rPr>
          <w:rFonts w:ascii="Arial" w:hAnsi="Arial"/>
          <w:b/>
        </w:rPr>
        <w:t>ACFR</w:t>
      </w:r>
      <w:r w:rsidRPr="00AD65EA">
        <w:rPr>
          <w:rFonts w:ascii="Arial" w:hAnsi="Arial"/>
          <w:b/>
        </w:rPr>
        <w:t xml:space="preserve"> Package Narrative”.  For all remaining projects below the threshold, please provide the total of those projects on the narrative worksheet.  If there are any press releases or other available information for the projects on the agency website, please forward copies with the narrative.  (NA for Component Units) </w:t>
      </w:r>
    </w:p>
    <w:p w14:paraId="549596B6" w14:textId="77777777" w:rsidR="000D0444" w:rsidRDefault="000D0444" w:rsidP="00AD65EA">
      <w:pPr>
        <w:jc w:val="both"/>
        <w:rPr>
          <w:rFonts w:ascii="Arial" w:hAnsi="Arial"/>
          <w:b/>
        </w:rPr>
      </w:pPr>
    </w:p>
    <w:p w14:paraId="09C3B2DD" w14:textId="77777777" w:rsidR="000D0444" w:rsidRPr="00DB395C" w:rsidRDefault="000D0444" w:rsidP="000D0444">
      <w:pPr>
        <w:jc w:val="both"/>
        <w:rPr>
          <w:rFonts w:ascii="Arial" w:hAnsi="Arial"/>
          <w:b/>
          <w:sz w:val="24"/>
          <w:szCs w:val="24"/>
          <w:u w:val="single"/>
          <w:lang w:val="x-none"/>
        </w:rPr>
      </w:pPr>
      <w:r w:rsidRPr="00DB395C">
        <w:rPr>
          <w:rFonts w:ascii="Arial" w:hAnsi="Arial"/>
          <w:b/>
          <w:smallCaps/>
          <w:sz w:val="24"/>
          <w:szCs w:val="24"/>
          <w:u w:val="single"/>
          <w:lang w:val="x-none"/>
        </w:rPr>
        <w:t>C</w:t>
      </w:r>
      <w:r w:rsidR="00DB395C">
        <w:rPr>
          <w:rFonts w:ascii="Arial" w:hAnsi="Arial"/>
          <w:b/>
          <w:smallCaps/>
          <w:sz w:val="24"/>
          <w:szCs w:val="24"/>
          <w:u w:val="single"/>
        </w:rPr>
        <w:t>apital</w:t>
      </w:r>
      <w:r w:rsidR="008A5A0D" w:rsidRPr="00DB395C">
        <w:rPr>
          <w:rFonts w:ascii="Arial" w:hAnsi="Arial"/>
          <w:b/>
          <w:smallCaps/>
          <w:sz w:val="24"/>
          <w:szCs w:val="24"/>
          <w:u w:val="single"/>
        </w:rPr>
        <w:t xml:space="preserve"> A</w:t>
      </w:r>
      <w:r w:rsidR="00DB395C">
        <w:rPr>
          <w:rFonts w:ascii="Arial" w:hAnsi="Arial"/>
          <w:b/>
          <w:smallCaps/>
          <w:sz w:val="24"/>
          <w:szCs w:val="24"/>
          <w:u w:val="single"/>
        </w:rPr>
        <w:t>sset</w:t>
      </w:r>
      <w:r w:rsidR="008A5A0D" w:rsidRPr="00DB395C">
        <w:rPr>
          <w:rFonts w:ascii="Arial" w:hAnsi="Arial"/>
          <w:b/>
          <w:smallCaps/>
          <w:sz w:val="24"/>
          <w:szCs w:val="24"/>
          <w:u w:val="single"/>
        </w:rPr>
        <w:t xml:space="preserve"> R</w:t>
      </w:r>
      <w:r w:rsidR="00DB395C">
        <w:rPr>
          <w:rFonts w:ascii="Arial" w:hAnsi="Arial"/>
          <w:b/>
          <w:smallCaps/>
          <w:sz w:val="24"/>
          <w:szCs w:val="24"/>
          <w:u w:val="single"/>
        </w:rPr>
        <w:t>econciliation</w:t>
      </w:r>
      <w:r w:rsidR="008A5A0D" w:rsidRPr="00DB395C">
        <w:rPr>
          <w:rFonts w:ascii="Arial" w:hAnsi="Arial"/>
          <w:b/>
          <w:smallCaps/>
          <w:sz w:val="24"/>
          <w:szCs w:val="24"/>
          <w:u w:val="single"/>
        </w:rPr>
        <w:t xml:space="preserve"> C</w:t>
      </w:r>
      <w:r w:rsidR="00DB395C">
        <w:rPr>
          <w:rFonts w:ascii="Arial" w:hAnsi="Arial"/>
          <w:b/>
          <w:smallCaps/>
          <w:sz w:val="24"/>
          <w:szCs w:val="24"/>
          <w:u w:val="single"/>
        </w:rPr>
        <w:t>ertification</w:t>
      </w:r>
      <w:r w:rsidRPr="00DB395C">
        <w:rPr>
          <w:rFonts w:ascii="Arial" w:hAnsi="Arial"/>
          <w:b/>
          <w:sz w:val="24"/>
          <w:szCs w:val="24"/>
          <w:u w:val="single"/>
        </w:rPr>
        <w:t xml:space="preserve"> </w:t>
      </w:r>
      <w:r w:rsidRPr="00DB395C">
        <w:rPr>
          <w:rFonts w:ascii="Arial" w:hAnsi="Arial"/>
          <w:b/>
          <w:sz w:val="24"/>
          <w:szCs w:val="24"/>
          <w:u w:val="single"/>
          <w:lang w:val="x-none"/>
        </w:rPr>
        <w:t>(20</w:t>
      </w:r>
      <w:r w:rsidRPr="00DB395C">
        <w:rPr>
          <w:rFonts w:ascii="Arial" w:hAnsi="Arial"/>
          <w:b/>
          <w:sz w:val="24"/>
          <w:szCs w:val="24"/>
          <w:u w:val="single"/>
        </w:rPr>
        <w:t>3</w:t>
      </w:r>
      <w:r w:rsidRPr="00DB395C">
        <w:rPr>
          <w:rFonts w:ascii="Arial" w:hAnsi="Arial"/>
          <w:b/>
          <w:sz w:val="24"/>
          <w:szCs w:val="24"/>
          <w:u w:val="single"/>
          <w:lang w:val="x-none"/>
        </w:rPr>
        <w:t>)</w:t>
      </w:r>
    </w:p>
    <w:p w14:paraId="33B18D98" w14:textId="77777777" w:rsidR="000D0444" w:rsidRDefault="000D0444" w:rsidP="000D0444">
      <w:pPr>
        <w:jc w:val="both"/>
        <w:rPr>
          <w:rFonts w:ascii="Arial" w:hAnsi="Arial"/>
          <w:b/>
          <w:u w:val="single"/>
          <w:lang w:val="x-none"/>
        </w:rPr>
      </w:pPr>
    </w:p>
    <w:p w14:paraId="444B4B28" w14:textId="77777777" w:rsidR="00603268" w:rsidRDefault="001A0CA1" w:rsidP="2D9F1AB4">
      <w:pPr>
        <w:jc w:val="both"/>
        <w:rPr>
          <w:rFonts w:ascii="Arial" w:hAnsi="Arial"/>
        </w:rPr>
      </w:pPr>
      <w:r w:rsidRPr="00453525">
        <w:rPr>
          <w:rFonts w:ascii="Arial" w:hAnsi="Arial"/>
        </w:rPr>
        <w:t xml:space="preserve">Agencies will use the </w:t>
      </w:r>
      <w:r w:rsidR="00FF21E1">
        <w:rPr>
          <w:rFonts w:ascii="Arial" w:hAnsi="Arial"/>
          <w:b/>
          <w:bCs/>
        </w:rPr>
        <w:t xml:space="preserve">Fixed Assets Outbound Interface to FCCS </w:t>
      </w:r>
      <w:r w:rsidR="00CB7F5B" w:rsidRPr="00453525">
        <w:rPr>
          <w:rFonts w:ascii="Arial" w:hAnsi="Arial"/>
        </w:rPr>
        <w:t>r</w:t>
      </w:r>
      <w:r w:rsidRPr="00453525">
        <w:rPr>
          <w:rFonts w:ascii="Arial" w:hAnsi="Arial"/>
        </w:rPr>
        <w:t>eport</w:t>
      </w:r>
      <w:r w:rsidR="00603268">
        <w:rPr>
          <w:rFonts w:ascii="Arial" w:hAnsi="Arial"/>
        </w:rPr>
        <w:t xml:space="preserve">s </w:t>
      </w:r>
      <w:r w:rsidRPr="00453525">
        <w:rPr>
          <w:rFonts w:ascii="Arial" w:hAnsi="Arial"/>
        </w:rPr>
        <w:t xml:space="preserve">from the </w:t>
      </w:r>
      <w:r w:rsidR="0E40DF44" w:rsidRPr="2D9F1AB4">
        <w:rPr>
          <w:rFonts w:ascii="Arial" w:hAnsi="Arial"/>
        </w:rPr>
        <w:t xml:space="preserve">NCFS </w:t>
      </w:r>
      <w:r w:rsidR="00E604CF" w:rsidRPr="00453525">
        <w:rPr>
          <w:rFonts w:ascii="Arial" w:hAnsi="Arial"/>
        </w:rPr>
        <w:t>to answer question 1.</w:t>
      </w:r>
      <w:r w:rsidR="0057216C" w:rsidRPr="00453525">
        <w:rPr>
          <w:rFonts w:ascii="Arial" w:hAnsi="Arial"/>
        </w:rPr>
        <w:t xml:space="preserve"> </w:t>
      </w:r>
      <w:r w:rsidRPr="00453525" w:rsidDel="0057216C">
        <w:rPr>
          <w:rFonts w:ascii="Arial" w:hAnsi="Arial"/>
        </w:rPr>
        <w:t xml:space="preserve">The report </w:t>
      </w:r>
      <w:r w:rsidRPr="00453525" w:rsidDel="00CB7F5B">
        <w:rPr>
          <w:rFonts w:ascii="Arial" w:hAnsi="Arial"/>
        </w:rPr>
        <w:t>is in</w:t>
      </w:r>
      <w:r w:rsidRPr="00453525" w:rsidDel="001A0CA1">
        <w:rPr>
          <w:rFonts w:ascii="Arial" w:hAnsi="Arial"/>
        </w:rPr>
        <w:t xml:space="preserve"> </w:t>
      </w:r>
      <w:r w:rsidR="002C143F">
        <w:rPr>
          <w:rFonts w:ascii="Arial" w:hAnsi="Arial"/>
        </w:rPr>
        <w:t>Tools</w:t>
      </w:r>
      <w:r w:rsidR="00EC751D">
        <w:rPr>
          <w:rFonts w:ascii="Arial" w:hAnsi="Arial"/>
        </w:rPr>
        <w:t>, Reports and Analytics under the fixed asset folder</w:t>
      </w:r>
      <w:r w:rsidR="00FC5E0E">
        <w:rPr>
          <w:rFonts w:ascii="Arial" w:hAnsi="Arial"/>
        </w:rPr>
        <w:t>.</w:t>
      </w:r>
    </w:p>
    <w:p w14:paraId="68665ED6" w14:textId="77777777" w:rsidR="00603268" w:rsidRDefault="00603268" w:rsidP="2D9F1AB4">
      <w:pPr>
        <w:jc w:val="both"/>
        <w:rPr>
          <w:rFonts w:ascii="Arial" w:hAnsi="Arial"/>
        </w:rPr>
      </w:pPr>
    </w:p>
    <w:p w14:paraId="2DF944FD" w14:textId="3BB44FBD" w:rsidR="003B147A" w:rsidRDefault="00603268" w:rsidP="00603268">
      <w:pPr>
        <w:jc w:val="both"/>
        <w:rPr>
          <w:rFonts w:ascii="Arial" w:hAnsi="Arial"/>
        </w:rPr>
      </w:pPr>
      <w:r w:rsidRPr="00DD7067">
        <w:rPr>
          <w:rFonts w:ascii="Arial" w:hAnsi="Arial"/>
          <w:b/>
          <w:bCs/>
        </w:rPr>
        <w:t>New this year</w:t>
      </w:r>
      <w:r>
        <w:rPr>
          <w:rFonts w:ascii="Arial" w:hAnsi="Arial"/>
        </w:rPr>
        <w:t xml:space="preserve">- </w:t>
      </w:r>
      <w:r w:rsidR="00DD7067">
        <w:rPr>
          <w:rFonts w:ascii="Arial" w:hAnsi="Arial"/>
        </w:rPr>
        <w:t>for</w:t>
      </w:r>
      <w:r>
        <w:rPr>
          <w:rFonts w:ascii="Arial" w:hAnsi="Arial"/>
        </w:rPr>
        <w:t xml:space="preserve"> question 1.</w:t>
      </w:r>
      <w:r w:rsidR="001A0CA1" w:rsidRPr="2D9F1AB4" w:rsidDel="001A0CA1">
        <w:rPr>
          <w:rFonts w:ascii="Arial" w:hAnsi="Arial"/>
        </w:rPr>
        <w:t xml:space="preserve"> </w:t>
      </w:r>
      <w:r w:rsidRPr="00603268">
        <w:rPr>
          <w:rFonts w:ascii="Arial" w:hAnsi="Arial"/>
        </w:rPr>
        <w:t>- Please agree FBR Fixed Asset</w:t>
      </w:r>
      <w:r w:rsidR="00DD7067">
        <w:rPr>
          <w:rFonts w:ascii="Arial" w:hAnsi="Arial"/>
        </w:rPr>
        <w:t>s</w:t>
      </w:r>
      <w:r w:rsidRPr="00603268">
        <w:rPr>
          <w:rFonts w:ascii="Arial" w:hAnsi="Arial"/>
        </w:rPr>
        <w:t xml:space="preserve"> Outbound Interface to FCCS Report (RPTFA006) and</w:t>
      </w:r>
      <w:r w:rsidR="00DD7067">
        <w:rPr>
          <w:rFonts w:ascii="Arial" w:hAnsi="Arial"/>
        </w:rPr>
        <w:t xml:space="preserve"> </w:t>
      </w:r>
      <w:r w:rsidRPr="00603268">
        <w:rPr>
          <w:rFonts w:ascii="Arial" w:hAnsi="Arial"/>
        </w:rPr>
        <w:t>the FBR Fixed Assets Begin Balance Outbound Interface to FCCS Report (RPTFA007)</w:t>
      </w:r>
      <w:r>
        <w:rPr>
          <w:rFonts w:ascii="Arial" w:hAnsi="Arial"/>
        </w:rPr>
        <w:t xml:space="preserve"> for F</w:t>
      </w:r>
      <w:r w:rsidR="00DD7067">
        <w:rPr>
          <w:rFonts w:ascii="Arial" w:hAnsi="Arial"/>
        </w:rPr>
        <w:t>Y</w:t>
      </w:r>
      <w:r>
        <w:rPr>
          <w:rFonts w:ascii="Arial" w:hAnsi="Arial"/>
        </w:rPr>
        <w:t xml:space="preserve"> 2025 </w:t>
      </w:r>
      <w:r w:rsidR="00DD7067">
        <w:rPr>
          <w:rFonts w:ascii="Arial" w:hAnsi="Arial"/>
        </w:rPr>
        <w:t>activity.</w:t>
      </w:r>
      <w:r w:rsidR="003B147A">
        <w:rPr>
          <w:rFonts w:ascii="Arial" w:hAnsi="Arial"/>
        </w:rPr>
        <w:t xml:space="preserve"> </w:t>
      </w:r>
      <w:r w:rsidR="003B147A" w:rsidRPr="003B147A">
        <w:rPr>
          <w:rFonts w:ascii="Arial" w:hAnsi="Arial"/>
        </w:rPr>
        <w:t>The report FA006 contains</w:t>
      </w:r>
      <w:r w:rsidR="003B147A">
        <w:rPr>
          <w:rFonts w:ascii="Arial" w:hAnsi="Arial"/>
        </w:rPr>
        <w:t xml:space="preserve"> </w:t>
      </w:r>
      <w:r w:rsidR="003B147A" w:rsidRPr="003B147A">
        <w:rPr>
          <w:rFonts w:ascii="Arial" w:hAnsi="Arial"/>
        </w:rPr>
        <w:t xml:space="preserve">current </w:t>
      </w:r>
      <w:proofErr w:type="gramStart"/>
      <w:r w:rsidR="003B147A" w:rsidRPr="003B147A">
        <w:rPr>
          <w:rFonts w:ascii="Arial" w:hAnsi="Arial"/>
        </w:rPr>
        <w:t>year</w:t>
      </w:r>
      <w:proofErr w:type="gramEnd"/>
      <w:r w:rsidR="003B147A">
        <w:rPr>
          <w:rFonts w:ascii="Arial" w:hAnsi="Arial"/>
        </w:rPr>
        <w:t xml:space="preserve"> </w:t>
      </w:r>
      <w:r w:rsidR="003B147A" w:rsidRPr="003B147A">
        <w:rPr>
          <w:rFonts w:ascii="Arial" w:hAnsi="Arial"/>
        </w:rPr>
        <w:t>activity and the report FA007 contains beginning balances.</w:t>
      </w:r>
    </w:p>
    <w:p w14:paraId="5E32580E" w14:textId="77777777" w:rsidR="003B147A" w:rsidRDefault="003B147A" w:rsidP="00603268">
      <w:pPr>
        <w:jc w:val="both"/>
        <w:rPr>
          <w:rFonts w:ascii="Arial" w:hAnsi="Arial"/>
        </w:rPr>
      </w:pPr>
    </w:p>
    <w:p w14:paraId="2D8773B5" w14:textId="02DBA1B2" w:rsidR="00603268" w:rsidRPr="00603268" w:rsidRDefault="00603268" w:rsidP="00603268">
      <w:pPr>
        <w:jc w:val="both"/>
        <w:rPr>
          <w:rFonts w:ascii="Arial" w:hAnsi="Arial"/>
        </w:rPr>
      </w:pPr>
      <w:r w:rsidRPr="00603268">
        <w:rPr>
          <w:rFonts w:ascii="Arial" w:hAnsi="Arial"/>
        </w:rPr>
        <w:t xml:space="preserve"> </w:t>
      </w:r>
      <w:r w:rsidR="003B147A" w:rsidRPr="00603268">
        <w:rPr>
          <w:rFonts w:ascii="Arial" w:hAnsi="Arial"/>
        </w:rPr>
        <w:t>To</w:t>
      </w:r>
      <w:r w:rsidRPr="00603268">
        <w:rPr>
          <w:rFonts w:ascii="Arial" w:hAnsi="Arial"/>
        </w:rPr>
        <w:t xml:space="preserve"> </w:t>
      </w:r>
      <w:r w:rsidR="00DD7067" w:rsidRPr="00603268">
        <w:rPr>
          <w:rFonts w:ascii="Arial" w:hAnsi="Arial"/>
        </w:rPr>
        <w:t>complete</w:t>
      </w:r>
      <w:r w:rsidRPr="00603268">
        <w:rPr>
          <w:rFonts w:ascii="Arial" w:hAnsi="Arial"/>
        </w:rPr>
        <w:t xml:space="preserve"> this you will need to combine </w:t>
      </w:r>
      <w:proofErr w:type="gramStart"/>
      <w:r w:rsidRPr="00603268">
        <w:rPr>
          <w:rFonts w:ascii="Arial" w:hAnsi="Arial"/>
        </w:rPr>
        <w:t>the FA006</w:t>
      </w:r>
      <w:proofErr w:type="gramEnd"/>
      <w:r w:rsidRPr="00603268">
        <w:rPr>
          <w:rFonts w:ascii="Arial" w:hAnsi="Arial"/>
        </w:rPr>
        <w:t xml:space="preserve"> and </w:t>
      </w:r>
      <w:proofErr w:type="gramStart"/>
      <w:r w:rsidRPr="00603268">
        <w:rPr>
          <w:rFonts w:ascii="Arial" w:hAnsi="Arial"/>
        </w:rPr>
        <w:t>the FA007</w:t>
      </w:r>
      <w:proofErr w:type="gramEnd"/>
      <w:r w:rsidRPr="00603268">
        <w:rPr>
          <w:rFonts w:ascii="Arial" w:hAnsi="Arial"/>
        </w:rPr>
        <w:t xml:space="preserve"> reports together.  Please see the link below to the QRG.</w:t>
      </w:r>
    </w:p>
    <w:p w14:paraId="406EAFA9" w14:textId="77777777" w:rsidR="00603268" w:rsidRPr="00603268" w:rsidRDefault="00603268" w:rsidP="00603268">
      <w:pPr>
        <w:jc w:val="both"/>
        <w:rPr>
          <w:rFonts w:ascii="Arial" w:hAnsi="Arial"/>
        </w:rPr>
      </w:pPr>
    </w:p>
    <w:p w14:paraId="3D91DABC" w14:textId="10D6E01F" w:rsidR="000D0444" w:rsidRPr="00453525" w:rsidRDefault="00603268" w:rsidP="00603268">
      <w:pPr>
        <w:jc w:val="both"/>
        <w:rPr>
          <w:rFonts w:ascii="Arial" w:hAnsi="Arial"/>
        </w:rPr>
      </w:pPr>
      <w:hyperlink r:id="rId17" w:history="1">
        <w:r w:rsidRPr="00DD7067">
          <w:rPr>
            <w:rStyle w:val="Hyperlink"/>
            <w:rFonts w:ascii="Arial" w:hAnsi="Arial"/>
          </w:rPr>
          <w:t>https://www.ncosc.gov/training/ncfs-system-training/ncfs-help-documents/combining-int-fa-006-and-int-fa-007</w:t>
        </w:r>
      </w:hyperlink>
    </w:p>
    <w:p w14:paraId="1F8121F6" w14:textId="77777777" w:rsidR="002E7608" w:rsidRDefault="002E7608" w:rsidP="2D9F1AB4">
      <w:pPr>
        <w:jc w:val="both"/>
        <w:rPr>
          <w:rFonts w:ascii="Arial" w:hAnsi="Arial"/>
          <w:b/>
          <w:bCs/>
        </w:rPr>
      </w:pPr>
    </w:p>
    <w:p w14:paraId="77DEEE91" w14:textId="522A1E33" w:rsidR="000A4012" w:rsidRPr="000A4012" w:rsidRDefault="000A4012" w:rsidP="2D9F1AB4">
      <w:pPr>
        <w:jc w:val="both"/>
        <w:rPr>
          <w:rFonts w:ascii="Arial" w:hAnsi="Arial"/>
          <w:color w:val="FF0000"/>
        </w:rPr>
      </w:pPr>
      <w:r w:rsidRPr="000A4012">
        <w:rPr>
          <w:rFonts w:ascii="Arial" w:hAnsi="Arial"/>
          <w:color w:val="FF0000"/>
        </w:rPr>
        <w:t xml:space="preserve">If you answer NO to question 1 on this worksheet, you will also need to answer questions 2, 3, and 4 as appropriate.  </w:t>
      </w:r>
    </w:p>
    <w:p w14:paraId="68BB83F9" w14:textId="77777777" w:rsidR="000A4012" w:rsidRPr="000A4012" w:rsidRDefault="000A4012" w:rsidP="2D9F1AB4">
      <w:pPr>
        <w:jc w:val="both"/>
        <w:rPr>
          <w:rFonts w:ascii="Arial" w:hAnsi="Arial"/>
          <w:color w:val="FF0000"/>
        </w:rPr>
      </w:pPr>
    </w:p>
    <w:p w14:paraId="56C90EEB" w14:textId="5FE31FF3" w:rsidR="000A4012" w:rsidRDefault="000A4012" w:rsidP="000A4012">
      <w:pPr>
        <w:pStyle w:val="ListParagraph"/>
        <w:numPr>
          <w:ilvl w:val="0"/>
          <w:numId w:val="43"/>
        </w:numPr>
        <w:jc w:val="both"/>
        <w:rPr>
          <w:rFonts w:ascii="Arial" w:hAnsi="Arial"/>
          <w:color w:val="FF0000"/>
          <w:sz w:val="20"/>
          <w:szCs w:val="20"/>
        </w:rPr>
      </w:pPr>
      <w:r w:rsidRPr="000A4012">
        <w:rPr>
          <w:rFonts w:ascii="Arial" w:hAnsi="Arial"/>
          <w:b/>
          <w:bCs/>
          <w:color w:val="FF0000"/>
          <w:sz w:val="20"/>
          <w:szCs w:val="20"/>
        </w:rPr>
        <w:t>Question 2</w:t>
      </w:r>
      <w:r w:rsidRPr="000A4012">
        <w:rPr>
          <w:rFonts w:ascii="Arial" w:hAnsi="Arial"/>
          <w:color w:val="FF0000"/>
          <w:sz w:val="20"/>
          <w:szCs w:val="20"/>
        </w:rPr>
        <w:t xml:space="preserve"> will be answered</w:t>
      </w:r>
      <w:r w:rsidR="003C22AD">
        <w:rPr>
          <w:rFonts w:ascii="Arial" w:hAnsi="Arial"/>
          <w:color w:val="FF0000"/>
          <w:sz w:val="20"/>
          <w:szCs w:val="20"/>
        </w:rPr>
        <w:t xml:space="preserve"> if your agency has any material adjustments (defined as any adjustment to an individual asset that is over $10 million) to the July 1 balances (i.e. </w:t>
      </w:r>
      <w:proofErr w:type="gramStart"/>
      <w:r w:rsidR="003C22AD">
        <w:rPr>
          <w:rFonts w:ascii="Arial" w:hAnsi="Arial"/>
          <w:color w:val="FF0000"/>
          <w:sz w:val="20"/>
          <w:szCs w:val="20"/>
        </w:rPr>
        <w:t>asset</w:t>
      </w:r>
      <w:proofErr w:type="gramEnd"/>
      <w:r w:rsidR="003C22AD">
        <w:rPr>
          <w:rFonts w:ascii="Arial" w:hAnsi="Arial"/>
          <w:color w:val="FF0000"/>
          <w:sz w:val="20"/>
          <w:szCs w:val="20"/>
        </w:rPr>
        <w:t xml:space="preserve"> that should have been identified in prior years) for acquisitions or cost adjustments that did </w:t>
      </w:r>
      <w:proofErr w:type="gramStart"/>
      <w:r w:rsidR="003C22AD">
        <w:rPr>
          <w:rFonts w:ascii="Arial" w:hAnsi="Arial"/>
          <w:color w:val="FF0000"/>
          <w:sz w:val="20"/>
          <w:szCs w:val="20"/>
        </w:rPr>
        <w:t>no</w:t>
      </w:r>
      <w:r w:rsidR="00E639AD">
        <w:rPr>
          <w:rFonts w:ascii="Arial" w:hAnsi="Arial"/>
          <w:color w:val="FF0000"/>
          <w:sz w:val="20"/>
          <w:szCs w:val="20"/>
        </w:rPr>
        <w:t>t</w:t>
      </w:r>
      <w:r w:rsidR="003C22AD">
        <w:rPr>
          <w:rFonts w:ascii="Arial" w:hAnsi="Arial"/>
          <w:color w:val="FF0000"/>
          <w:sz w:val="20"/>
          <w:szCs w:val="20"/>
        </w:rPr>
        <w:t xml:space="preserve"> get</w:t>
      </w:r>
      <w:proofErr w:type="gramEnd"/>
      <w:r w:rsidR="003C22AD">
        <w:rPr>
          <w:rFonts w:ascii="Arial" w:hAnsi="Arial"/>
          <w:color w:val="FF0000"/>
          <w:sz w:val="20"/>
          <w:szCs w:val="20"/>
        </w:rPr>
        <w:t xml:space="preserve"> reported in the NCFS Fixed Asset Module by the cut-off date of July 2</w:t>
      </w:r>
      <w:r w:rsidR="00AD0FEB">
        <w:rPr>
          <w:rFonts w:ascii="Arial" w:hAnsi="Arial"/>
          <w:color w:val="FF0000"/>
          <w:sz w:val="20"/>
          <w:szCs w:val="20"/>
        </w:rPr>
        <w:t>8th</w:t>
      </w:r>
      <w:r w:rsidR="003C22AD">
        <w:rPr>
          <w:rFonts w:ascii="Arial" w:hAnsi="Arial"/>
          <w:color w:val="FF0000"/>
          <w:sz w:val="20"/>
          <w:szCs w:val="20"/>
        </w:rPr>
        <w:t xml:space="preserve">.  Please make sure to complete </w:t>
      </w:r>
      <w:proofErr w:type="gramStart"/>
      <w:r w:rsidR="003C22AD">
        <w:rPr>
          <w:rFonts w:ascii="Arial" w:hAnsi="Arial"/>
          <w:color w:val="FF0000"/>
          <w:sz w:val="20"/>
          <w:szCs w:val="20"/>
        </w:rPr>
        <w:t>worksheet</w:t>
      </w:r>
      <w:proofErr w:type="gramEnd"/>
      <w:r w:rsidR="003C22AD">
        <w:rPr>
          <w:rFonts w:ascii="Arial" w:hAnsi="Arial"/>
          <w:color w:val="FF0000"/>
          <w:sz w:val="20"/>
          <w:szCs w:val="20"/>
        </w:rPr>
        <w:t xml:space="preserve"> 430G.</w:t>
      </w:r>
    </w:p>
    <w:p w14:paraId="2A988FF1" w14:textId="7F82F9C6" w:rsidR="003C22AD" w:rsidRDefault="003C22AD" w:rsidP="000A4012">
      <w:pPr>
        <w:pStyle w:val="ListParagraph"/>
        <w:numPr>
          <w:ilvl w:val="0"/>
          <w:numId w:val="43"/>
        </w:numPr>
        <w:jc w:val="both"/>
        <w:rPr>
          <w:rFonts w:ascii="Arial" w:hAnsi="Arial"/>
          <w:color w:val="FF0000"/>
          <w:sz w:val="20"/>
          <w:szCs w:val="20"/>
        </w:rPr>
      </w:pPr>
      <w:r>
        <w:rPr>
          <w:rFonts w:ascii="Arial" w:hAnsi="Arial"/>
          <w:b/>
          <w:bCs/>
          <w:color w:val="FF0000"/>
          <w:sz w:val="20"/>
          <w:szCs w:val="20"/>
        </w:rPr>
        <w:t>Question 3</w:t>
      </w:r>
      <w:r>
        <w:rPr>
          <w:rFonts w:ascii="Arial" w:hAnsi="Arial"/>
          <w:color w:val="FF0000"/>
          <w:sz w:val="20"/>
          <w:szCs w:val="20"/>
        </w:rPr>
        <w:t xml:space="preserve"> will be answered if your agency has any material acquisitions or cost adjustments (defined as any adjustment to an individual asset that is over $10 million) that should be reported in FY202</w:t>
      </w:r>
      <w:r w:rsidR="003E149A">
        <w:rPr>
          <w:rFonts w:ascii="Arial" w:hAnsi="Arial"/>
          <w:color w:val="FF0000"/>
          <w:sz w:val="20"/>
          <w:szCs w:val="20"/>
        </w:rPr>
        <w:t>5</w:t>
      </w:r>
      <w:r>
        <w:rPr>
          <w:rFonts w:ascii="Arial" w:hAnsi="Arial"/>
          <w:color w:val="FF0000"/>
          <w:sz w:val="20"/>
          <w:szCs w:val="20"/>
        </w:rPr>
        <w:t xml:space="preserve"> (current year additions/adjustments) that did not get recorded in the NCFS Fixed Asset Module by the cut-off date of July </w:t>
      </w:r>
      <w:r w:rsidR="00EC4AAF">
        <w:rPr>
          <w:rFonts w:ascii="Arial" w:hAnsi="Arial"/>
          <w:color w:val="FF0000"/>
          <w:sz w:val="20"/>
          <w:szCs w:val="20"/>
        </w:rPr>
        <w:t>28</w:t>
      </w:r>
      <w:r w:rsidR="00EC4AAF" w:rsidRPr="003C22AD">
        <w:rPr>
          <w:rFonts w:ascii="Arial" w:hAnsi="Arial"/>
          <w:color w:val="FF0000"/>
          <w:sz w:val="20"/>
          <w:szCs w:val="20"/>
          <w:vertAlign w:val="superscript"/>
        </w:rPr>
        <w:t>th</w:t>
      </w:r>
      <w:r>
        <w:rPr>
          <w:rFonts w:ascii="Arial" w:hAnsi="Arial"/>
          <w:color w:val="FF0000"/>
          <w:sz w:val="20"/>
          <w:szCs w:val="20"/>
        </w:rPr>
        <w:t xml:space="preserve">.  </w:t>
      </w:r>
    </w:p>
    <w:p w14:paraId="488D6EAE" w14:textId="3C1EC25D" w:rsidR="00C015CD" w:rsidRDefault="00C015CD" w:rsidP="000A4012">
      <w:pPr>
        <w:pStyle w:val="ListParagraph"/>
        <w:numPr>
          <w:ilvl w:val="0"/>
          <w:numId w:val="43"/>
        </w:numPr>
        <w:jc w:val="both"/>
        <w:rPr>
          <w:rFonts w:ascii="Arial" w:hAnsi="Arial"/>
          <w:color w:val="FF0000"/>
          <w:sz w:val="20"/>
          <w:szCs w:val="20"/>
        </w:rPr>
      </w:pPr>
      <w:r>
        <w:rPr>
          <w:rFonts w:ascii="Arial" w:hAnsi="Arial"/>
          <w:b/>
          <w:bCs/>
          <w:color w:val="FF0000"/>
          <w:sz w:val="20"/>
          <w:szCs w:val="20"/>
        </w:rPr>
        <w:t>Question 4</w:t>
      </w:r>
      <w:r>
        <w:rPr>
          <w:rFonts w:ascii="Arial" w:hAnsi="Arial"/>
          <w:color w:val="FF0000"/>
          <w:sz w:val="20"/>
          <w:szCs w:val="20"/>
        </w:rPr>
        <w:t xml:space="preserve"> will be answered if your agency has individual asset adjustments under $10 million (whether for the current year or prior years) that did not get recorded in the Fixed Asset Module during FY202</w:t>
      </w:r>
      <w:r w:rsidR="003E149A">
        <w:rPr>
          <w:rFonts w:ascii="Arial" w:hAnsi="Arial"/>
          <w:color w:val="FF0000"/>
          <w:sz w:val="20"/>
          <w:szCs w:val="20"/>
        </w:rPr>
        <w:t>5</w:t>
      </w:r>
      <w:r>
        <w:rPr>
          <w:rFonts w:ascii="Arial" w:hAnsi="Arial"/>
          <w:color w:val="FF0000"/>
          <w:sz w:val="20"/>
          <w:szCs w:val="20"/>
        </w:rPr>
        <w:t xml:space="preserve">.  Note: Unless instructed otherwise by OSC, these assets identified in question 4 will be adjustments to the July 1 balances in </w:t>
      </w:r>
      <w:r w:rsidR="00E83A60">
        <w:rPr>
          <w:rFonts w:ascii="Arial" w:hAnsi="Arial"/>
          <w:color w:val="FF0000"/>
          <w:sz w:val="20"/>
          <w:szCs w:val="20"/>
        </w:rPr>
        <w:t xml:space="preserve">the </w:t>
      </w:r>
      <w:r>
        <w:rPr>
          <w:rFonts w:ascii="Arial" w:hAnsi="Arial"/>
          <w:color w:val="FF0000"/>
          <w:sz w:val="20"/>
          <w:szCs w:val="20"/>
        </w:rPr>
        <w:t xml:space="preserve">following fiscal year.  </w:t>
      </w:r>
    </w:p>
    <w:p w14:paraId="64C7F23E" w14:textId="77777777" w:rsidR="000A4012" w:rsidRDefault="000A4012" w:rsidP="2D9F1AB4">
      <w:pPr>
        <w:jc w:val="both"/>
        <w:rPr>
          <w:rFonts w:ascii="Arial" w:hAnsi="Arial"/>
          <w:color w:val="FF0000"/>
        </w:rPr>
      </w:pPr>
    </w:p>
    <w:p w14:paraId="71878696" w14:textId="3B4B7E5F" w:rsidR="00C015CD" w:rsidRDefault="00C015CD" w:rsidP="2D9F1AB4">
      <w:pPr>
        <w:jc w:val="both"/>
        <w:rPr>
          <w:rFonts w:ascii="Arial" w:hAnsi="Arial"/>
          <w:color w:val="FF0000"/>
        </w:rPr>
      </w:pPr>
      <w:r>
        <w:rPr>
          <w:rFonts w:ascii="Arial" w:hAnsi="Arial"/>
          <w:color w:val="FF0000"/>
        </w:rPr>
        <w:lastRenderedPageBreak/>
        <w:t xml:space="preserve">Agencies must </w:t>
      </w:r>
      <w:r w:rsidR="00143D63">
        <w:rPr>
          <w:rFonts w:ascii="Arial" w:hAnsi="Arial"/>
          <w:color w:val="FF0000"/>
        </w:rPr>
        <w:t>provide</w:t>
      </w:r>
      <w:r>
        <w:rPr>
          <w:rFonts w:ascii="Arial" w:hAnsi="Arial"/>
          <w:color w:val="FF0000"/>
        </w:rPr>
        <w:t xml:space="preserve"> documentation showing that the adjustments identified in Question 2, 3, and 4 have been entered into the fixed asset module.  </w:t>
      </w:r>
      <w:r w:rsidR="00143D63">
        <w:rPr>
          <w:rFonts w:ascii="Arial" w:hAnsi="Arial"/>
          <w:color w:val="FF0000"/>
        </w:rPr>
        <w:t>A</w:t>
      </w:r>
      <w:r w:rsidR="00143D63" w:rsidRPr="00143D63">
        <w:rPr>
          <w:rFonts w:ascii="Arial" w:hAnsi="Arial"/>
          <w:b/>
          <w:bCs/>
          <w:color w:val="FF0000"/>
        </w:rPr>
        <w:t xml:space="preserve"> screenshot of the NCFS Fixed Asset Module – Asset Inquiry Screen under the Cash Book detail </w:t>
      </w:r>
      <w:r w:rsidR="00143D63">
        <w:rPr>
          <w:rFonts w:ascii="Arial" w:hAnsi="Arial"/>
          <w:color w:val="FF0000"/>
        </w:rPr>
        <w:t>or the</w:t>
      </w:r>
      <w:r>
        <w:rPr>
          <w:rFonts w:ascii="Arial" w:hAnsi="Arial"/>
          <w:color w:val="FF0000"/>
        </w:rPr>
        <w:t xml:space="preserve"> </w:t>
      </w:r>
      <w:r w:rsidRPr="00C015CD">
        <w:rPr>
          <w:rFonts w:ascii="Arial" w:hAnsi="Arial"/>
          <w:b/>
          <w:bCs/>
          <w:color w:val="FF0000"/>
          <w:u w:val="single"/>
        </w:rPr>
        <w:t>FY 202</w:t>
      </w:r>
      <w:r w:rsidR="00BD43DA">
        <w:rPr>
          <w:rFonts w:ascii="Arial" w:hAnsi="Arial"/>
          <w:b/>
          <w:bCs/>
          <w:color w:val="FF0000"/>
          <w:u w:val="single"/>
        </w:rPr>
        <w:t>6</w:t>
      </w:r>
      <w:r>
        <w:rPr>
          <w:rFonts w:ascii="Arial" w:hAnsi="Arial"/>
          <w:color w:val="FF0000"/>
        </w:rPr>
        <w:t xml:space="preserve"> </w:t>
      </w:r>
      <w:r w:rsidRPr="00C015CD">
        <w:rPr>
          <w:rFonts w:ascii="Arial" w:hAnsi="Arial"/>
          <w:b/>
          <w:bCs/>
          <w:color w:val="FF0000"/>
        </w:rPr>
        <w:t>Fixed Assets Outbound Interface to FCCS Report (RPTFA006)</w:t>
      </w:r>
      <w:r>
        <w:rPr>
          <w:rFonts w:ascii="Arial" w:hAnsi="Arial"/>
          <w:color w:val="FF0000"/>
        </w:rPr>
        <w:t xml:space="preserve"> from NCFS should be used as supporting documentation and should be submitted with your ACFR package.  </w:t>
      </w:r>
    </w:p>
    <w:p w14:paraId="379081D4" w14:textId="77777777" w:rsidR="00C015CD" w:rsidRDefault="00C015CD" w:rsidP="2D9F1AB4">
      <w:pPr>
        <w:jc w:val="both"/>
        <w:rPr>
          <w:rFonts w:ascii="Arial" w:hAnsi="Arial"/>
          <w:color w:val="FF0000"/>
        </w:rPr>
      </w:pPr>
    </w:p>
    <w:p w14:paraId="31E90C35" w14:textId="54862572" w:rsidR="00143D63" w:rsidRDefault="00C015CD" w:rsidP="00C015CD">
      <w:pPr>
        <w:jc w:val="both"/>
        <w:rPr>
          <w:rFonts w:ascii="Arial" w:hAnsi="Arial"/>
        </w:rPr>
      </w:pPr>
      <w:r>
        <w:rPr>
          <w:rFonts w:ascii="Arial" w:hAnsi="Arial"/>
        </w:rPr>
        <w:t>Please have the individual completing the Fixed Asset Reconciliation print their name at the bottom of the worksheet, certifying that the “</w:t>
      </w:r>
      <w:r w:rsidR="00143D63" w:rsidRPr="00C015CD">
        <w:rPr>
          <w:rFonts w:ascii="Arial" w:hAnsi="Arial"/>
          <w:b/>
          <w:bCs/>
          <w:color w:val="FF0000"/>
        </w:rPr>
        <w:t>Fixed Assets Outbound Interface to FCCS Report (RPTFA006)</w:t>
      </w:r>
      <w:r>
        <w:rPr>
          <w:rFonts w:ascii="Arial" w:hAnsi="Arial"/>
        </w:rPr>
        <w:t xml:space="preserve">” has been verified and reconciled to the capital assets held at your agency. </w:t>
      </w:r>
    </w:p>
    <w:p w14:paraId="66E0DD1F" w14:textId="77777777" w:rsidR="00143D63" w:rsidRDefault="00143D63" w:rsidP="00C015CD">
      <w:pPr>
        <w:jc w:val="both"/>
        <w:rPr>
          <w:rFonts w:ascii="Arial" w:hAnsi="Arial"/>
        </w:rPr>
      </w:pPr>
    </w:p>
    <w:p w14:paraId="38C25F2D" w14:textId="1E51448A" w:rsidR="00143D63" w:rsidRPr="00143D63" w:rsidRDefault="00143D63" w:rsidP="00C015CD">
      <w:pPr>
        <w:jc w:val="both"/>
        <w:rPr>
          <w:rFonts w:ascii="Arial" w:hAnsi="Arial"/>
          <w:color w:val="FF0000"/>
        </w:rPr>
      </w:pPr>
      <w:r w:rsidRPr="00804170">
        <w:rPr>
          <w:rFonts w:ascii="Arial" w:hAnsi="Arial"/>
          <w:b/>
          <w:bCs/>
          <w:color w:val="FF0000"/>
        </w:rPr>
        <w:t>A few other reminders</w:t>
      </w:r>
      <w:r w:rsidRPr="00804170">
        <w:rPr>
          <w:rFonts w:ascii="Arial" w:hAnsi="Arial"/>
          <w:color w:val="FF0000"/>
        </w:rPr>
        <w:t>:</w:t>
      </w:r>
    </w:p>
    <w:p w14:paraId="7B27A2AC" w14:textId="77777777" w:rsidR="00143D63" w:rsidRPr="00143D63" w:rsidRDefault="00143D63" w:rsidP="00C015CD">
      <w:pPr>
        <w:jc w:val="both"/>
        <w:rPr>
          <w:rFonts w:ascii="Arial" w:hAnsi="Arial"/>
          <w:color w:val="FF0000"/>
        </w:rPr>
      </w:pPr>
    </w:p>
    <w:p w14:paraId="5646BE37" w14:textId="4CA5BB01" w:rsidR="00143D63" w:rsidRPr="00143D63" w:rsidRDefault="00143D63" w:rsidP="00143D63">
      <w:pPr>
        <w:pStyle w:val="ListParagraph"/>
        <w:numPr>
          <w:ilvl w:val="0"/>
          <w:numId w:val="44"/>
        </w:numPr>
        <w:rPr>
          <w:rFonts w:ascii="Arial" w:eastAsia="Times New Roman" w:hAnsi="Arial"/>
          <w:color w:val="FF0000"/>
          <w:sz w:val="20"/>
          <w:szCs w:val="20"/>
        </w:rPr>
      </w:pPr>
      <w:r w:rsidRPr="00143D63">
        <w:rPr>
          <w:rFonts w:ascii="Arial" w:eastAsia="Times New Roman" w:hAnsi="Arial"/>
          <w:color w:val="FF0000"/>
          <w:sz w:val="20"/>
          <w:szCs w:val="20"/>
        </w:rPr>
        <w:t xml:space="preserve">All fixed asset activity (acquisitions, retirements, cost adjustments, and transfers) </w:t>
      </w:r>
      <w:r w:rsidRPr="00143D63">
        <w:rPr>
          <w:rFonts w:ascii="Arial" w:eastAsia="Times New Roman" w:hAnsi="Arial"/>
          <w:b/>
          <w:bCs/>
          <w:color w:val="FF0000"/>
          <w:sz w:val="20"/>
          <w:szCs w:val="20"/>
          <w:u w:val="single"/>
        </w:rPr>
        <w:t>for FY 202</w:t>
      </w:r>
      <w:r w:rsidR="00804170">
        <w:rPr>
          <w:rFonts w:ascii="Arial" w:eastAsia="Times New Roman" w:hAnsi="Arial"/>
          <w:b/>
          <w:bCs/>
          <w:color w:val="FF0000"/>
          <w:sz w:val="20"/>
          <w:szCs w:val="20"/>
          <w:u w:val="single"/>
        </w:rPr>
        <w:t>5</w:t>
      </w:r>
      <w:r w:rsidRPr="00143D63">
        <w:rPr>
          <w:rFonts w:ascii="Arial" w:eastAsia="Times New Roman" w:hAnsi="Arial"/>
          <w:b/>
          <w:bCs/>
          <w:color w:val="FF0000"/>
          <w:sz w:val="20"/>
          <w:szCs w:val="20"/>
          <w:u w:val="single"/>
        </w:rPr>
        <w:t xml:space="preserve"> must be completed by July 2</w:t>
      </w:r>
      <w:r w:rsidR="00804170">
        <w:rPr>
          <w:rFonts w:ascii="Arial" w:eastAsia="Times New Roman" w:hAnsi="Arial"/>
          <w:b/>
          <w:bCs/>
          <w:color w:val="FF0000"/>
          <w:sz w:val="20"/>
          <w:szCs w:val="20"/>
          <w:u w:val="single"/>
        </w:rPr>
        <w:t>8th</w:t>
      </w:r>
      <w:r w:rsidRPr="00143D63">
        <w:rPr>
          <w:rFonts w:ascii="Arial" w:eastAsia="Times New Roman" w:hAnsi="Arial"/>
          <w:color w:val="FF0000"/>
          <w:sz w:val="20"/>
          <w:szCs w:val="20"/>
        </w:rPr>
        <w:t xml:space="preserve">.  This includes reviewing and updating your SBITA and </w:t>
      </w:r>
      <w:proofErr w:type="gramStart"/>
      <w:r w:rsidRPr="00143D63">
        <w:rPr>
          <w:rFonts w:ascii="Arial" w:eastAsia="Times New Roman" w:hAnsi="Arial"/>
          <w:color w:val="FF0000"/>
          <w:sz w:val="20"/>
          <w:szCs w:val="20"/>
        </w:rPr>
        <w:t>lease</w:t>
      </w:r>
      <w:proofErr w:type="gramEnd"/>
      <w:r w:rsidRPr="00143D63">
        <w:rPr>
          <w:rFonts w:ascii="Arial" w:eastAsia="Times New Roman" w:hAnsi="Arial"/>
          <w:color w:val="FF0000"/>
          <w:sz w:val="20"/>
          <w:szCs w:val="20"/>
        </w:rPr>
        <w:t xml:space="preserve"> </w:t>
      </w:r>
      <w:proofErr w:type="gramStart"/>
      <w:r w:rsidRPr="00143D63">
        <w:rPr>
          <w:rFonts w:ascii="Arial" w:eastAsia="Times New Roman" w:hAnsi="Arial"/>
          <w:color w:val="FF0000"/>
          <w:sz w:val="20"/>
          <w:szCs w:val="20"/>
        </w:rPr>
        <w:t>asset’s</w:t>
      </w:r>
      <w:proofErr w:type="gramEnd"/>
      <w:r w:rsidRPr="00143D63">
        <w:rPr>
          <w:rFonts w:ascii="Arial" w:eastAsia="Times New Roman" w:hAnsi="Arial"/>
          <w:color w:val="FF0000"/>
          <w:sz w:val="20"/>
          <w:szCs w:val="20"/>
        </w:rPr>
        <w:t xml:space="preserve"> useful lives.  Activity for your capital assets should be reviewed and verified using the FBR Fixed Assets Outbound Interface to FCCS Report (RPTFA06) and your capital asset’s useful lives can be reviewed and verified using the NC SWCAP Assets Report (RPTFA008).</w:t>
      </w:r>
    </w:p>
    <w:p w14:paraId="1E02B25C" w14:textId="77777777" w:rsidR="00143D63" w:rsidRPr="00143D63" w:rsidRDefault="00143D63" w:rsidP="00143D63">
      <w:pPr>
        <w:pStyle w:val="ListParagraph"/>
        <w:rPr>
          <w:rFonts w:ascii="Arial" w:eastAsia="Times New Roman" w:hAnsi="Arial"/>
          <w:color w:val="FF0000"/>
          <w:sz w:val="20"/>
          <w:szCs w:val="20"/>
        </w:rPr>
      </w:pPr>
    </w:p>
    <w:p w14:paraId="59962251" w14:textId="24B5CEEA" w:rsidR="00143D63" w:rsidRPr="00143D63" w:rsidRDefault="00143D63" w:rsidP="00143D63">
      <w:pPr>
        <w:pStyle w:val="ListParagraph"/>
        <w:numPr>
          <w:ilvl w:val="0"/>
          <w:numId w:val="44"/>
        </w:numPr>
        <w:rPr>
          <w:rFonts w:ascii="Arial" w:eastAsia="Times New Roman" w:hAnsi="Arial"/>
          <w:color w:val="FF0000"/>
          <w:sz w:val="20"/>
          <w:szCs w:val="20"/>
        </w:rPr>
      </w:pPr>
      <w:r w:rsidRPr="00143D63">
        <w:rPr>
          <w:rFonts w:ascii="Arial" w:eastAsia="Times New Roman" w:hAnsi="Arial"/>
          <w:color w:val="FF0000"/>
          <w:sz w:val="20"/>
          <w:szCs w:val="20"/>
        </w:rPr>
        <w:t>If material assets/adjustments ($10 million or above for individual asset/adjustments) are identified after the NCFS fixed asset module deadline (July 2</w:t>
      </w:r>
      <w:r w:rsidR="00C400F7">
        <w:rPr>
          <w:rFonts w:ascii="Arial" w:eastAsia="Times New Roman" w:hAnsi="Arial"/>
          <w:color w:val="FF0000"/>
          <w:sz w:val="20"/>
          <w:szCs w:val="20"/>
        </w:rPr>
        <w:t>8th</w:t>
      </w:r>
      <w:r w:rsidRPr="00143D63">
        <w:rPr>
          <w:rFonts w:ascii="Arial" w:eastAsia="Times New Roman" w:hAnsi="Arial"/>
          <w:color w:val="FF0000"/>
          <w:sz w:val="20"/>
          <w:szCs w:val="20"/>
        </w:rPr>
        <w:t>, 2024), the agency should notify their OSC analyst as soon as identified.  The agency should also answer questions/identify them on the ACFR package worksheets (201 &amp; 203 worksheets).  The OSC analyst will provide the guidance and entries needed to be done in the NCFS fixed asset module and accrual general ledger for FY2</w:t>
      </w:r>
      <w:r w:rsidR="00C400F7">
        <w:rPr>
          <w:rFonts w:ascii="Arial" w:eastAsia="Times New Roman" w:hAnsi="Arial"/>
          <w:color w:val="FF0000"/>
          <w:sz w:val="20"/>
          <w:szCs w:val="20"/>
        </w:rPr>
        <w:t>5</w:t>
      </w:r>
      <w:r w:rsidRPr="00143D63">
        <w:rPr>
          <w:rFonts w:ascii="Arial" w:eastAsia="Times New Roman" w:hAnsi="Arial"/>
          <w:color w:val="FF0000"/>
          <w:sz w:val="20"/>
          <w:szCs w:val="20"/>
        </w:rPr>
        <w:t xml:space="preserve"> and FY2</w:t>
      </w:r>
      <w:r w:rsidR="00C400F7">
        <w:rPr>
          <w:rFonts w:ascii="Arial" w:eastAsia="Times New Roman" w:hAnsi="Arial"/>
          <w:color w:val="FF0000"/>
          <w:sz w:val="20"/>
          <w:szCs w:val="20"/>
        </w:rPr>
        <w:t>6</w:t>
      </w:r>
      <w:r w:rsidRPr="00143D63">
        <w:rPr>
          <w:rFonts w:ascii="Arial" w:eastAsia="Times New Roman" w:hAnsi="Arial"/>
          <w:color w:val="FF0000"/>
          <w:sz w:val="20"/>
          <w:szCs w:val="20"/>
        </w:rPr>
        <w:t xml:space="preserve">.  These entries will ensure the NCFS fixed asset module, NCFS accrual general ledger, and ACFR compilation records stay in balance.  </w:t>
      </w:r>
    </w:p>
    <w:p w14:paraId="24F17B9E" w14:textId="77777777" w:rsidR="00C015CD" w:rsidRPr="00C015CD" w:rsidRDefault="00C015CD" w:rsidP="2D9F1AB4">
      <w:pPr>
        <w:jc w:val="both"/>
        <w:rPr>
          <w:rFonts w:ascii="Arial" w:hAnsi="Arial"/>
          <w:color w:val="FF0000"/>
        </w:rPr>
      </w:pPr>
    </w:p>
    <w:p w14:paraId="39958419" w14:textId="77777777" w:rsidR="00D01223" w:rsidRDefault="00D01223" w:rsidP="00F40318">
      <w:pPr>
        <w:jc w:val="both"/>
        <w:rPr>
          <w:rFonts w:ascii="Arial" w:hAnsi="Arial"/>
        </w:rPr>
      </w:pPr>
    </w:p>
    <w:p w14:paraId="37F9788B" w14:textId="3E33BE25" w:rsidR="004E46A3" w:rsidRDefault="00DB395C">
      <w:pPr>
        <w:pStyle w:val="Heading3"/>
        <w:spacing w:line="240" w:lineRule="auto"/>
        <w:jc w:val="left"/>
        <w:rPr>
          <w:rFonts w:ascii="Arial" w:hAnsi="Arial"/>
          <w:szCs w:val="24"/>
          <w:u w:val="single"/>
        </w:rPr>
      </w:pPr>
      <w:r w:rsidRPr="00DB395C">
        <w:rPr>
          <w:rFonts w:ascii="Arial" w:hAnsi="Arial"/>
          <w:szCs w:val="24"/>
          <w:u w:val="single"/>
          <w:lang w:val="en-US"/>
        </w:rPr>
        <w:t>Accumulated</w:t>
      </w:r>
      <w:r w:rsidR="004E46A3" w:rsidRPr="00DB395C">
        <w:rPr>
          <w:rFonts w:ascii="Arial" w:hAnsi="Arial"/>
          <w:szCs w:val="24"/>
          <w:u w:val="single"/>
        </w:rPr>
        <w:t xml:space="preserve"> D</w:t>
      </w:r>
      <w:r w:rsidRPr="00DB395C">
        <w:rPr>
          <w:rFonts w:ascii="Arial" w:hAnsi="Arial"/>
          <w:szCs w:val="24"/>
          <w:u w:val="single"/>
          <w:lang w:val="en-US"/>
        </w:rPr>
        <w:t>epreciation</w:t>
      </w:r>
      <w:r w:rsidR="004E46A3" w:rsidRPr="00DB395C">
        <w:rPr>
          <w:rFonts w:ascii="Arial" w:hAnsi="Arial"/>
          <w:szCs w:val="24"/>
          <w:u w:val="single"/>
        </w:rPr>
        <w:t xml:space="preserve"> (210)</w:t>
      </w:r>
    </w:p>
    <w:p w14:paraId="62125CF8" w14:textId="75857387" w:rsidR="00726828" w:rsidRDefault="00726828" w:rsidP="00726828">
      <w:pPr>
        <w:rPr>
          <w:lang w:val="x-none" w:eastAsia="x-none"/>
        </w:rPr>
      </w:pPr>
    </w:p>
    <w:p w14:paraId="2B4E4670" w14:textId="36B484C5" w:rsidR="00726828" w:rsidRPr="004F7960" w:rsidRDefault="00726828" w:rsidP="00726828">
      <w:pPr>
        <w:rPr>
          <w:rFonts w:ascii="Arial" w:hAnsi="Arial" w:cs="Arial"/>
          <w:lang w:eastAsia="x-none"/>
        </w:rPr>
      </w:pPr>
      <w:r w:rsidRPr="004F7960">
        <w:rPr>
          <w:rFonts w:ascii="Arial" w:hAnsi="Arial" w:cs="Arial"/>
          <w:lang w:val="x-none" w:eastAsia="x-none"/>
        </w:rPr>
        <w:t>Worksheet 2</w:t>
      </w:r>
      <w:r w:rsidR="00525A8B">
        <w:rPr>
          <w:rFonts w:ascii="Arial" w:hAnsi="Arial" w:cs="Arial"/>
          <w:lang w:eastAsia="x-none"/>
        </w:rPr>
        <w:t>10</w:t>
      </w:r>
      <w:r w:rsidRPr="004F7960">
        <w:rPr>
          <w:rFonts w:ascii="Arial" w:hAnsi="Arial" w:cs="Arial"/>
          <w:lang w:eastAsia="x-none"/>
        </w:rPr>
        <w:t xml:space="preserve"> Function</w:t>
      </w:r>
      <w:r w:rsidRPr="004F7960">
        <w:rPr>
          <w:rFonts w:ascii="Arial" w:hAnsi="Arial" w:cs="Arial"/>
          <w:lang w:val="x-none" w:eastAsia="x-none"/>
        </w:rPr>
        <w:t xml:space="preserve"> – State agencies that report governmental fund assets (GASB 5100):  </w:t>
      </w:r>
      <w:r w:rsidR="00360C40" w:rsidRPr="004F7960">
        <w:rPr>
          <w:rFonts w:ascii="Arial" w:hAnsi="Arial" w:cs="Arial"/>
          <w:lang w:eastAsia="x-none"/>
        </w:rPr>
        <w:t>A</w:t>
      </w:r>
      <w:proofErr w:type="spellStart"/>
      <w:r w:rsidRPr="004F7960">
        <w:rPr>
          <w:rFonts w:ascii="Arial" w:hAnsi="Arial" w:cs="Arial"/>
          <w:lang w:val="x-none" w:eastAsia="x-none"/>
        </w:rPr>
        <w:t>gencies</w:t>
      </w:r>
      <w:proofErr w:type="spellEnd"/>
      <w:r w:rsidRPr="004F7960">
        <w:rPr>
          <w:rFonts w:ascii="Arial" w:hAnsi="Arial" w:cs="Arial"/>
          <w:lang w:val="x-none" w:eastAsia="x-none"/>
        </w:rPr>
        <w:t xml:space="preserve"> that report governmental fund assets must select a function in the drop-down box and enter the GASB Fund No as 5100.  DOT (Transportation), DPS (Public Safety), Commerce (Economic Development</w:t>
      </w:r>
      <w:r w:rsidRPr="004F7960">
        <w:rPr>
          <w:rFonts w:ascii="Arial" w:hAnsi="Arial" w:cs="Arial"/>
          <w:lang w:eastAsia="x-none"/>
        </w:rPr>
        <w:t>)</w:t>
      </w:r>
      <w:r w:rsidR="009B7356" w:rsidRPr="004F7960">
        <w:rPr>
          <w:rFonts w:ascii="Arial" w:hAnsi="Arial" w:cs="Arial"/>
          <w:lang w:eastAsia="x-none"/>
        </w:rPr>
        <w:t>.</w:t>
      </w:r>
    </w:p>
    <w:p w14:paraId="74F1056F" w14:textId="77777777" w:rsidR="00726828" w:rsidRPr="004F7960" w:rsidRDefault="00726828" w:rsidP="00726828">
      <w:pPr>
        <w:rPr>
          <w:rFonts w:ascii="Arial" w:hAnsi="Arial" w:cs="Arial"/>
          <w:lang w:val="x-none" w:eastAsia="x-none"/>
        </w:rPr>
      </w:pPr>
    </w:p>
    <w:p w14:paraId="2E4AB74E" w14:textId="608F0D7D" w:rsidR="00434BC0" w:rsidRDefault="00726828" w:rsidP="00726828">
      <w:pPr>
        <w:rPr>
          <w:rFonts w:ascii="Arial" w:hAnsi="Arial" w:cs="Arial"/>
          <w:lang w:eastAsia="x-none"/>
        </w:rPr>
      </w:pPr>
      <w:r w:rsidRPr="004F7960">
        <w:rPr>
          <w:rFonts w:ascii="Arial" w:hAnsi="Arial" w:cs="Arial"/>
          <w:lang w:val="x-none" w:eastAsia="x-none"/>
        </w:rPr>
        <w:t xml:space="preserve">State agencies that report internal service funds:  </w:t>
      </w:r>
      <w:r w:rsidR="00C04623" w:rsidRPr="004F7960">
        <w:rPr>
          <w:rFonts w:ascii="Arial" w:hAnsi="Arial" w:cs="Arial"/>
          <w:lang w:eastAsia="x-none"/>
        </w:rPr>
        <w:t>I</w:t>
      </w:r>
      <w:proofErr w:type="spellStart"/>
      <w:r w:rsidRPr="004F7960">
        <w:rPr>
          <w:rFonts w:ascii="Arial" w:hAnsi="Arial" w:cs="Arial"/>
          <w:lang w:val="x-none" w:eastAsia="x-none"/>
        </w:rPr>
        <w:t>nternal</w:t>
      </w:r>
      <w:proofErr w:type="spellEnd"/>
      <w:r w:rsidRPr="004F7960">
        <w:rPr>
          <w:rFonts w:ascii="Arial" w:hAnsi="Arial" w:cs="Arial"/>
          <w:lang w:val="x-none" w:eastAsia="x-none"/>
        </w:rPr>
        <w:t xml:space="preserve"> service fund assets must select the General Government function in the drop-down box. DOA (General Government) and DIT (General Government</w:t>
      </w:r>
      <w:r>
        <w:rPr>
          <w:rFonts w:ascii="Arial" w:hAnsi="Arial" w:cs="Arial"/>
          <w:lang w:eastAsia="x-none"/>
        </w:rPr>
        <w:t>)</w:t>
      </w:r>
      <w:r w:rsidR="00525A8B">
        <w:rPr>
          <w:rFonts w:ascii="Arial" w:hAnsi="Arial" w:cs="Arial"/>
          <w:lang w:eastAsia="x-none"/>
        </w:rPr>
        <w:t>.</w:t>
      </w:r>
    </w:p>
    <w:p w14:paraId="30C461A2" w14:textId="77777777" w:rsidR="001A5DF9" w:rsidRPr="001A5DF9" w:rsidRDefault="001A5DF9" w:rsidP="001A5DF9">
      <w:pPr>
        <w:rPr>
          <w:rFonts w:ascii="Arial" w:hAnsi="Arial" w:cs="Arial"/>
          <w:lang w:eastAsia="x-none"/>
        </w:rPr>
      </w:pPr>
    </w:p>
    <w:p w14:paraId="78922E94" w14:textId="77777777" w:rsidR="004E46A3" w:rsidRDefault="004E46A3">
      <w:pPr>
        <w:rPr>
          <w:rFonts w:ascii="Arial" w:hAnsi="Arial"/>
        </w:rPr>
      </w:pPr>
    </w:p>
    <w:p w14:paraId="1B11EBEA" w14:textId="5EF0716D" w:rsidR="004E46A3" w:rsidRDefault="00525A8B" w:rsidP="006D586B">
      <w:pPr>
        <w:rPr>
          <w:rFonts w:ascii="Arial" w:hAnsi="Arial"/>
        </w:rPr>
      </w:pPr>
      <w:r>
        <w:rPr>
          <w:rFonts w:ascii="Arial" w:hAnsi="Arial"/>
        </w:rPr>
        <w:t>The 210 is c</w:t>
      </w:r>
      <w:r w:rsidR="004E46A3">
        <w:rPr>
          <w:rFonts w:ascii="Arial" w:hAnsi="Arial"/>
        </w:rPr>
        <w:t xml:space="preserve">ompleted only by BTAs and agencies not on </w:t>
      </w:r>
      <w:r w:rsidR="02D36DC3" w:rsidRPr="27196449">
        <w:rPr>
          <w:rFonts w:ascii="Arial" w:hAnsi="Arial"/>
        </w:rPr>
        <w:t>NC</w:t>
      </w:r>
      <w:r w:rsidR="3CD821F1" w:rsidRPr="27196449">
        <w:rPr>
          <w:rFonts w:ascii="Arial" w:hAnsi="Arial"/>
        </w:rPr>
        <w:t>FS</w:t>
      </w:r>
      <w:r w:rsidR="02D36DC3" w:rsidRPr="27196449">
        <w:rPr>
          <w:rFonts w:ascii="Arial" w:hAnsi="Arial"/>
        </w:rPr>
        <w:t xml:space="preserve"> </w:t>
      </w:r>
      <w:r w:rsidR="004E46A3" w:rsidRPr="27196449">
        <w:rPr>
          <w:rFonts w:ascii="Arial" w:hAnsi="Arial"/>
        </w:rPr>
        <w:t>F</w:t>
      </w:r>
      <w:r w:rsidR="07B2BBD8" w:rsidRPr="27196449">
        <w:rPr>
          <w:rFonts w:ascii="Arial" w:hAnsi="Arial"/>
        </w:rPr>
        <w:t>ixed Asset Module</w:t>
      </w:r>
      <w:r w:rsidR="004E46A3">
        <w:rPr>
          <w:rFonts w:ascii="Arial" w:hAnsi="Arial"/>
        </w:rPr>
        <w:t xml:space="preserve"> (DOT</w:t>
      </w:r>
      <w:r w:rsidR="00EC3476">
        <w:rPr>
          <w:rFonts w:ascii="Arial" w:hAnsi="Arial"/>
        </w:rPr>
        <w:t xml:space="preserve"> and Commerce Div of Employment Security</w:t>
      </w:r>
      <w:r w:rsidR="006E1752">
        <w:rPr>
          <w:rFonts w:ascii="Arial" w:hAnsi="Arial"/>
        </w:rPr>
        <w:t>)</w:t>
      </w:r>
      <w:r w:rsidR="004E46A3">
        <w:rPr>
          <w:rFonts w:ascii="Arial" w:hAnsi="Arial"/>
        </w:rPr>
        <w:t>.</w:t>
      </w:r>
      <w:r w:rsidR="00EC2676">
        <w:rPr>
          <w:rFonts w:ascii="Arial" w:hAnsi="Arial"/>
        </w:rPr>
        <w:t xml:space="preserve">  D</w:t>
      </w:r>
      <w:r w:rsidR="00CA3795">
        <w:rPr>
          <w:rFonts w:ascii="Arial" w:hAnsi="Arial"/>
        </w:rPr>
        <w:t>AC</w:t>
      </w:r>
      <w:r w:rsidR="00EC2676">
        <w:rPr>
          <w:rFonts w:ascii="Arial" w:hAnsi="Arial"/>
        </w:rPr>
        <w:t xml:space="preserve"> also reports</w:t>
      </w:r>
      <w:r w:rsidR="00546FBB">
        <w:rPr>
          <w:rFonts w:ascii="Arial" w:hAnsi="Arial"/>
        </w:rPr>
        <w:t xml:space="preserve"> Correction Enterprises on the 201/210 worksheets even though their capital assets are reported in FAS.</w:t>
      </w:r>
    </w:p>
    <w:p w14:paraId="159F51FC" w14:textId="77777777" w:rsidR="00546FBB" w:rsidRDefault="00546FBB" w:rsidP="006D586B">
      <w:pPr>
        <w:rPr>
          <w:rFonts w:ascii="Arial" w:hAnsi="Arial"/>
        </w:rPr>
      </w:pPr>
    </w:p>
    <w:p w14:paraId="19942522" w14:textId="54FE2CDC" w:rsidR="00E87D73" w:rsidRDefault="004E46A3">
      <w:pPr>
        <w:rPr>
          <w:rFonts w:ascii="Arial" w:hAnsi="Arial"/>
        </w:rPr>
      </w:pPr>
      <w:r>
        <w:rPr>
          <w:rFonts w:ascii="Arial" w:hAnsi="Arial"/>
        </w:rPr>
        <w:t xml:space="preserve">The </w:t>
      </w:r>
      <w:r w:rsidR="00B71B79">
        <w:rPr>
          <w:rFonts w:ascii="Arial" w:hAnsi="Arial"/>
        </w:rPr>
        <w:t>Adjustments to July 1 Balance</w:t>
      </w:r>
      <w:r>
        <w:rPr>
          <w:rFonts w:ascii="Arial" w:hAnsi="Arial"/>
        </w:rPr>
        <w:t xml:space="preserve"> column would include amounts related to fund reclassifications.</w:t>
      </w:r>
      <w:r w:rsidR="0073020A">
        <w:rPr>
          <w:rFonts w:ascii="Arial" w:hAnsi="Arial"/>
        </w:rPr>
        <w:t xml:space="preserve">  If there are prior year adjustments</w:t>
      </w:r>
      <w:r w:rsidR="00E3472B">
        <w:rPr>
          <w:rFonts w:ascii="Arial" w:hAnsi="Arial"/>
        </w:rPr>
        <w:t>,</w:t>
      </w:r>
      <w:r w:rsidR="00114C9C">
        <w:rPr>
          <w:rFonts w:ascii="Arial" w:hAnsi="Arial"/>
        </w:rPr>
        <w:t xml:space="preserve"> </w:t>
      </w:r>
      <w:r w:rsidR="00B77781">
        <w:rPr>
          <w:rFonts w:ascii="Arial" w:hAnsi="Arial"/>
        </w:rPr>
        <w:t xml:space="preserve">these adjustments should be reflected as a restatement in the financials </w:t>
      </w:r>
      <w:r w:rsidR="00546FBB">
        <w:rPr>
          <w:rFonts w:ascii="Arial" w:hAnsi="Arial"/>
        </w:rPr>
        <w:t xml:space="preserve">for the proprietary funds (BTA’s), </w:t>
      </w:r>
      <w:r w:rsidR="00B77781">
        <w:rPr>
          <w:rFonts w:ascii="Arial" w:hAnsi="Arial"/>
        </w:rPr>
        <w:t xml:space="preserve">and </w:t>
      </w:r>
      <w:r w:rsidR="0073020A">
        <w:rPr>
          <w:rFonts w:ascii="Arial" w:hAnsi="Arial"/>
        </w:rPr>
        <w:t>worksheet</w:t>
      </w:r>
      <w:r w:rsidR="00114C9C">
        <w:rPr>
          <w:rFonts w:ascii="Arial" w:hAnsi="Arial"/>
        </w:rPr>
        <w:t>s</w:t>
      </w:r>
      <w:r w:rsidR="0073020A">
        <w:rPr>
          <w:rFonts w:ascii="Arial" w:hAnsi="Arial"/>
        </w:rPr>
        <w:t xml:space="preserve"> 430</w:t>
      </w:r>
      <w:r w:rsidR="00114C9C">
        <w:rPr>
          <w:rFonts w:ascii="Arial" w:hAnsi="Arial"/>
        </w:rPr>
        <w:t xml:space="preserve"> and </w:t>
      </w:r>
      <w:r w:rsidR="0073020A">
        <w:rPr>
          <w:rFonts w:ascii="Arial" w:hAnsi="Arial"/>
        </w:rPr>
        <w:t>431</w:t>
      </w:r>
      <w:r w:rsidR="00000AC8">
        <w:rPr>
          <w:rFonts w:ascii="Arial" w:hAnsi="Arial"/>
        </w:rPr>
        <w:t>BTA</w:t>
      </w:r>
      <w:r w:rsidR="00B77781">
        <w:rPr>
          <w:rFonts w:ascii="Arial" w:hAnsi="Arial"/>
        </w:rPr>
        <w:t xml:space="preserve"> must be completed</w:t>
      </w:r>
      <w:r w:rsidR="0073020A">
        <w:rPr>
          <w:rFonts w:ascii="Arial" w:hAnsi="Arial"/>
        </w:rPr>
        <w:t>.</w:t>
      </w:r>
      <w:r w:rsidR="000B7973">
        <w:rPr>
          <w:rFonts w:ascii="Arial" w:hAnsi="Arial"/>
        </w:rPr>
        <w:t xml:space="preserve">  </w:t>
      </w:r>
      <w:r w:rsidR="00B77781">
        <w:rPr>
          <w:rFonts w:ascii="Arial" w:hAnsi="Arial"/>
        </w:rPr>
        <w:t>If there are assets with accumulated depreciation balances transferred to</w:t>
      </w:r>
      <w:r w:rsidR="003D055C">
        <w:rPr>
          <w:rFonts w:ascii="Arial" w:hAnsi="Arial"/>
        </w:rPr>
        <w:t xml:space="preserve">/from </w:t>
      </w:r>
      <w:r w:rsidR="00B77781">
        <w:rPr>
          <w:rFonts w:ascii="Arial" w:hAnsi="Arial"/>
        </w:rPr>
        <w:t xml:space="preserve">your agency, the accumulated depreciation balances </w:t>
      </w:r>
      <w:r w:rsidR="0022243C">
        <w:rPr>
          <w:rFonts w:ascii="Arial" w:hAnsi="Arial"/>
        </w:rPr>
        <w:t xml:space="preserve">would </w:t>
      </w:r>
      <w:r w:rsidR="00B77781">
        <w:rPr>
          <w:rFonts w:ascii="Arial" w:hAnsi="Arial"/>
        </w:rPr>
        <w:t>go in the Transfers In/Out column.</w:t>
      </w:r>
      <w:r w:rsidR="00FE7E12">
        <w:rPr>
          <w:rFonts w:ascii="Arial" w:hAnsi="Arial"/>
        </w:rPr>
        <w:t xml:space="preserve"> The transfer within the agency should show net zero.</w:t>
      </w:r>
      <w:r w:rsidR="00B77781">
        <w:rPr>
          <w:rFonts w:ascii="Arial" w:hAnsi="Arial"/>
        </w:rPr>
        <w:t xml:space="preserve"> </w:t>
      </w:r>
      <w:r w:rsidR="003C5363">
        <w:rPr>
          <w:rFonts w:ascii="Arial" w:hAnsi="Arial"/>
        </w:rPr>
        <w:t xml:space="preserve">If there are current year adjustments to accumulated depreciation, these amounts would go in the appropriate Accumulated Depreciation Increases/Decreases column with an explanation for the adjustment noted at the bottom of the worksheet.  </w:t>
      </w:r>
      <w:r w:rsidR="00B77781">
        <w:rPr>
          <w:rFonts w:ascii="Arial" w:hAnsi="Arial"/>
        </w:rPr>
        <w:t xml:space="preserve">The accumulated depreciation increases column should </w:t>
      </w:r>
      <w:proofErr w:type="gramStart"/>
      <w:r w:rsidR="00B77781">
        <w:rPr>
          <w:rFonts w:ascii="Arial" w:hAnsi="Arial"/>
        </w:rPr>
        <w:t>tie</w:t>
      </w:r>
      <w:proofErr w:type="gramEnd"/>
      <w:r w:rsidR="00B77781">
        <w:rPr>
          <w:rFonts w:ascii="Arial" w:hAnsi="Arial"/>
        </w:rPr>
        <w:t xml:space="preserve"> to depreciation expense on the agency/university’s operating statement.  If the two amounts do not tie, provide an explanation for the difference.  </w:t>
      </w:r>
    </w:p>
    <w:p w14:paraId="63615ADF" w14:textId="77777777" w:rsidR="00E87D73" w:rsidRDefault="00E87D73" w:rsidP="00E87D73">
      <w:pPr>
        <w:jc w:val="both"/>
        <w:rPr>
          <w:rFonts w:ascii="Arial" w:hAnsi="Arial"/>
          <w:b/>
        </w:rPr>
      </w:pPr>
    </w:p>
    <w:p w14:paraId="28E80ED4" w14:textId="77777777" w:rsidR="0009530E" w:rsidRPr="0009530E" w:rsidRDefault="0009530E" w:rsidP="0009530E">
      <w:pPr>
        <w:keepNext/>
        <w:outlineLvl w:val="2"/>
        <w:rPr>
          <w:rFonts w:ascii="Arial" w:hAnsi="Arial"/>
          <w:b/>
          <w:smallCaps/>
          <w:sz w:val="24"/>
          <w:u w:val="single"/>
          <w:lang w:val="x-none" w:eastAsia="x-none"/>
        </w:rPr>
      </w:pPr>
      <w:r>
        <w:rPr>
          <w:rFonts w:ascii="Arial" w:hAnsi="Arial"/>
          <w:b/>
          <w:smallCaps/>
          <w:sz w:val="24"/>
          <w:u w:val="single"/>
          <w:lang w:eastAsia="x-none"/>
        </w:rPr>
        <w:t xml:space="preserve">Capital Asset Statistics </w:t>
      </w:r>
      <w:r>
        <w:rPr>
          <w:rFonts w:ascii="Arial" w:hAnsi="Arial"/>
          <w:b/>
          <w:smallCaps/>
          <w:sz w:val="24"/>
          <w:u w:val="single"/>
          <w:lang w:val="x-none" w:eastAsia="x-none"/>
        </w:rPr>
        <w:t>(220</w:t>
      </w:r>
      <w:r w:rsidRPr="0009530E">
        <w:rPr>
          <w:rFonts w:ascii="Arial" w:hAnsi="Arial"/>
          <w:b/>
          <w:smallCaps/>
          <w:sz w:val="24"/>
          <w:u w:val="single"/>
          <w:lang w:val="x-none" w:eastAsia="x-none"/>
        </w:rPr>
        <w:t>)</w:t>
      </w:r>
    </w:p>
    <w:p w14:paraId="698DB17B" w14:textId="77777777" w:rsidR="006F6684" w:rsidRDefault="006F6684" w:rsidP="006F6684"/>
    <w:p w14:paraId="7BDEAD0C" w14:textId="77777777" w:rsidR="00825B3A" w:rsidRPr="00EC3476" w:rsidRDefault="006F6684" w:rsidP="006F6684">
      <w:pPr>
        <w:rPr>
          <w:rFonts w:ascii="Arial" w:hAnsi="Arial"/>
        </w:rPr>
      </w:pPr>
      <w:r w:rsidRPr="00EC3476">
        <w:rPr>
          <w:rFonts w:ascii="Arial" w:hAnsi="Arial"/>
        </w:rPr>
        <w:t xml:space="preserve">GASB 44 requirement of capital asset disclosure </w:t>
      </w:r>
      <w:r w:rsidR="00637C25" w:rsidRPr="00EC3476">
        <w:rPr>
          <w:rFonts w:ascii="Arial" w:hAnsi="Arial"/>
        </w:rPr>
        <w:t xml:space="preserve">presented </w:t>
      </w:r>
      <w:r w:rsidRPr="00EC3476">
        <w:rPr>
          <w:rFonts w:ascii="Arial" w:hAnsi="Arial"/>
        </w:rPr>
        <w:t>within the statistical section. If applicable to your agency</w:t>
      </w:r>
      <w:r w:rsidR="00407663">
        <w:rPr>
          <w:rFonts w:ascii="Arial" w:hAnsi="Arial"/>
        </w:rPr>
        <w:t>,</w:t>
      </w:r>
      <w:r w:rsidRPr="00EC3476">
        <w:rPr>
          <w:rFonts w:ascii="Arial" w:hAnsi="Arial"/>
        </w:rPr>
        <w:t xml:space="preserve"> </w:t>
      </w:r>
      <w:r w:rsidR="00637C25" w:rsidRPr="00EC3476">
        <w:rPr>
          <w:rFonts w:ascii="Arial" w:hAnsi="Arial"/>
        </w:rPr>
        <w:t>provide</w:t>
      </w:r>
      <w:r w:rsidRPr="00EC3476">
        <w:rPr>
          <w:rFonts w:ascii="Arial" w:hAnsi="Arial"/>
        </w:rPr>
        <w:t xml:space="preserve"> </w:t>
      </w:r>
      <w:proofErr w:type="gramStart"/>
      <w:r w:rsidRPr="00EC3476">
        <w:rPr>
          <w:rFonts w:ascii="Arial" w:hAnsi="Arial"/>
        </w:rPr>
        <w:t>quantity</w:t>
      </w:r>
      <w:proofErr w:type="gramEnd"/>
      <w:r w:rsidRPr="00EC3476">
        <w:rPr>
          <w:rFonts w:ascii="Arial" w:hAnsi="Arial"/>
        </w:rPr>
        <w:t xml:space="preserve"> of capital assets </w:t>
      </w:r>
      <w:r w:rsidR="00637C25" w:rsidRPr="00EC3476">
        <w:rPr>
          <w:rFonts w:ascii="Arial" w:hAnsi="Arial"/>
        </w:rPr>
        <w:t>as indicated</w:t>
      </w:r>
      <w:r w:rsidRPr="00EC3476">
        <w:rPr>
          <w:rFonts w:ascii="Arial" w:hAnsi="Arial"/>
        </w:rPr>
        <w:t xml:space="preserve"> on the worksheet.</w:t>
      </w:r>
      <w:r w:rsidR="00825B3A">
        <w:rPr>
          <w:rFonts w:ascii="Arial" w:hAnsi="Arial"/>
        </w:rPr>
        <w:t xml:space="preserve">  If significant changes from </w:t>
      </w:r>
      <w:r w:rsidR="00825B3A">
        <w:rPr>
          <w:rFonts w:ascii="Arial" w:hAnsi="Arial"/>
        </w:rPr>
        <w:lastRenderedPageBreak/>
        <w:t>the prior year occur in the counts, provide explanations for the changes at the bottom of the worksheet. If additional space is needed for explanations, use the Explanations tab of the package.</w:t>
      </w:r>
    </w:p>
    <w:p w14:paraId="28A19EBF" w14:textId="77777777" w:rsidR="00407663" w:rsidRPr="00407663" w:rsidRDefault="00407663" w:rsidP="00407663"/>
    <w:p w14:paraId="6C0ACEF5" w14:textId="75B27F44" w:rsidR="0074705F" w:rsidRPr="0074705F" w:rsidRDefault="004E46A3" w:rsidP="0074705F">
      <w:pPr>
        <w:pStyle w:val="Heading3"/>
        <w:spacing w:line="240" w:lineRule="auto"/>
        <w:jc w:val="left"/>
        <w:rPr>
          <w:rFonts w:ascii="Arial" w:hAnsi="Arial"/>
          <w:u w:val="single"/>
          <w:lang w:val="en-US"/>
        </w:rPr>
      </w:pPr>
      <w:r>
        <w:rPr>
          <w:rFonts w:ascii="Arial" w:hAnsi="Arial"/>
          <w:u w:val="single"/>
        </w:rPr>
        <w:t>Leases – (301</w:t>
      </w:r>
      <w:r w:rsidR="0074705F">
        <w:rPr>
          <w:rFonts w:ascii="Arial" w:hAnsi="Arial"/>
          <w:u w:val="single"/>
          <w:lang w:val="en-US"/>
        </w:rPr>
        <w:t>)</w:t>
      </w:r>
    </w:p>
    <w:p w14:paraId="3C6D0FB3" w14:textId="2948E1CA" w:rsidR="0020129D" w:rsidRDefault="00A601AC" w:rsidP="0074705F">
      <w:pPr>
        <w:pStyle w:val="Heading3"/>
        <w:spacing w:line="240" w:lineRule="auto"/>
        <w:jc w:val="left"/>
      </w:pPr>
      <w:r>
        <w:rPr>
          <w:rFonts w:ascii="Arial" w:hAnsi="Arial"/>
          <w:u w:val="single"/>
          <w:lang w:val="en-US"/>
        </w:rPr>
        <w:t xml:space="preserve"> </w:t>
      </w:r>
    </w:p>
    <w:p w14:paraId="18AEFC22" w14:textId="27C6B3A6" w:rsidR="001D485F" w:rsidRDefault="001D485F" w:rsidP="001D485F">
      <w:pPr>
        <w:rPr>
          <w:rFonts w:ascii="Arial" w:hAnsi="Arial" w:cs="Arial"/>
          <w:lang w:eastAsia="x-none"/>
        </w:rPr>
      </w:pPr>
      <w:r>
        <w:rPr>
          <w:rFonts w:ascii="Arial" w:hAnsi="Arial" w:cs="Arial"/>
          <w:lang w:eastAsia="x-none"/>
        </w:rPr>
        <w:t>For note disclosure purposes, GASB 87</w:t>
      </w:r>
      <w:r w:rsidRPr="001D485F">
        <w:rPr>
          <w:rFonts w:ascii="Arial" w:hAnsi="Arial" w:cs="Arial"/>
          <w:lang w:eastAsia="x-none"/>
        </w:rPr>
        <w:t xml:space="preserve"> defines a lease as a contract that conveys control of the right to use another entity’s non-financial asset as specified in a contract for </w:t>
      </w:r>
      <w:proofErr w:type="gramStart"/>
      <w:r w:rsidRPr="001D485F">
        <w:rPr>
          <w:rFonts w:ascii="Arial" w:hAnsi="Arial" w:cs="Arial"/>
          <w:lang w:eastAsia="x-none"/>
        </w:rPr>
        <w:t>a period of time</w:t>
      </w:r>
      <w:proofErr w:type="gramEnd"/>
      <w:r w:rsidRPr="001D485F">
        <w:rPr>
          <w:rFonts w:ascii="Arial" w:hAnsi="Arial" w:cs="Arial"/>
          <w:lang w:eastAsia="x-none"/>
        </w:rPr>
        <w:t xml:space="preserve"> in an exchange or an exchange-like transaction.  Leasing arrangements as defined by GASB 87 are financings of the right to use</w:t>
      </w:r>
      <w:r w:rsidR="003801BD">
        <w:rPr>
          <w:rFonts w:ascii="Arial" w:hAnsi="Arial" w:cs="Arial"/>
          <w:lang w:eastAsia="x-none"/>
        </w:rPr>
        <w:t xml:space="preserve"> a</w:t>
      </w:r>
      <w:r w:rsidRPr="001D485F">
        <w:rPr>
          <w:rFonts w:ascii="Arial" w:hAnsi="Arial" w:cs="Arial"/>
          <w:lang w:eastAsia="x-none"/>
        </w:rPr>
        <w:t xml:space="preserve"> lease asset. </w:t>
      </w:r>
      <w:r w:rsidR="0020129D" w:rsidRPr="0020129D">
        <w:rPr>
          <w:rFonts w:ascii="Arial" w:hAnsi="Arial" w:cs="Arial"/>
          <w:lang w:eastAsia="x-none"/>
        </w:rPr>
        <w:t xml:space="preserve">See the </w:t>
      </w:r>
      <w:hyperlink r:id="rId18" w:history="1">
        <w:r w:rsidR="0020129D" w:rsidRPr="00CA31E6">
          <w:rPr>
            <w:rStyle w:val="Hyperlink"/>
            <w:rFonts w:ascii="Arial" w:hAnsi="Arial" w:cs="Arial"/>
            <w:lang w:eastAsia="x-none"/>
          </w:rPr>
          <w:t>GASB  87 Financial Reporting Update</w:t>
        </w:r>
      </w:hyperlink>
      <w:r w:rsidR="0020129D" w:rsidRPr="0020129D">
        <w:rPr>
          <w:rFonts w:ascii="Arial" w:hAnsi="Arial" w:cs="Arial"/>
          <w:lang w:eastAsia="x-none"/>
        </w:rPr>
        <w:t xml:space="preserve"> for more information</w:t>
      </w:r>
      <w:r w:rsidR="00CA31E6">
        <w:rPr>
          <w:rFonts w:ascii="Arial" w:hAnsi="Arial" w:cs="Arial"/>
          <w:lang w:eastAsia="x-none"/>
        </w:rPr>
        <w:t>.</w:t>
      </w:r>
    </w:p>
    <w:p w14:paraId="13577BE9" w14:textId="1E3943C2" w:rsidR="0020129D" w:rsidRDefault="0020129D" w:rsidP="001D485F">
      <w:pPr>
        <w:rPr>
          <w:rFonts w:ascii="Arial" w:hAnsi="Arial" w:cs="Arial"/>
          <w:lang w:eastAsia="x-none"/>
        </w:rPr>
      </w:pPr>
    </w:p>
    <w:p w14:paraId="2BE7B07A" w14:textId="0BB3643B" w:rsidR="003801BD" w:rsidRDefault="0020129D" w:rsidP="001D485F">
      <w:pPr>
        <w:rPr>
          <w:rFonts w:ascii="Arial" w:hAnsi="Arial" w:cs="Arial"/>
          <w:lang w:eastAsia="x-none"/>
        </w:rPr>
      </w:pPr>
      <w:r w:rsidRPr="23A8EF44">
        <w:rPr>
          <w:rFonts w:ascii="Arial" w:hAnsi="Arial" w:cs="Arial"/>
        </w:rPr>
        <w:t>WS 301 is to be completed for Leases that fall under the GASB 87 definition. If future lease payments extend beyond 20</w:t>
      </w:r>
      <w:r w:rsidR="002E3598" w:rsidRPr="23A8EF44">
        <w:rPr>
          <w:rFonts w:ascii="Arial" w:hAnsi="Arial" w:cs="Arial"/>
        </w:rPr>
        <w:t>7</w:t>
      </w:r>
      <w:r w:rsidR="00923445">
        <w:rPr>
          <w:rFonts w:ascii="Arial" w:hAnsi="Arial" w:cs="Arial"/>
        </w:rPr>
        <w:t>6</w:t>
      </w:r>
      <w:r w:rsidRPr="23A8EF44">
        <w:rPr>
          <w:rFonts w:ascii="Arial" w:hAnsi="Arial" w:cs="Arial"/>
        </w:rPr>
        <w:t>, include a separate schedule breaking out the lease payments in 5</w:t>
      </w:r>
      <w:r w:rsidR="005B6E8C" w:rsidRPr="23A8EF44">
        <w:rPr>
          <w:rFonts w:ascii="Arial" w:hAnsi="Arial" w:cs="Arial"/>
        </w:rPr>
        <w:t>-</w:t>
      </w:r>
      <w:r w:rsidRPr="23A8EF44">
        <w:rPr>
          <w:rFonts w:ascii="Arial" w:hAnsi="Arial" w:cs="Arial"/>
        </w:rPr>
        <w:t>year increments until the end of the lease.</w:t>
      </w:r>
    </w:p>
    <w:p w14:paraId="2D5E0546" w14:textId="0AFD11A5" w:rsidR="003801BD" w:rsidRDefault="003801BD" w:rsidP="001D485F">
      <w:pPr>
        <w:rPr>
          <w:rFonts w:ascii="Arial" w:hAnsi="Arial" w:cs="Arial"/>
          <w:lang w:eastAsia="x-none"/>
        </w:rPr>
      </w:pPr>
    </w:p>
    <w:p w14:paraId="6919AE25" w14:textId="513F3625" w:rsidR="003801BD" w:rsidRDefault="003801BD" w:rsidP="001D485F">
      <w:pPr>
        <w:rPr>
          <w:rFonts w:ascii="Arial" w:hAnsi="Arial" w:cs="Arial"/>
          <w:lang w:eastAsia="x-none"/>
        </w:rPr>
      </w:pPr>
      <w:r>
        <w:rPr>
          <w:rFonts w:ascii="Arial" w:hAnsi="Arial" w:cs="Arial"/>
          <w:lang w:eastAsia="x-none"/>
        </w:rPr>
        <w:t xml:space="preserve">All questions under the main table are required to be answered </w:t>
      </w:r>
      <w:proofErr w:type="gramStart"/>
      <w:r>
        <w:rPr>
          <w:rFonts w:ascii="Arial" w:hAnsi="Arial" w:cs="Arial"/>
          <w:lang w:eastAsia="x-none"/>
        </w:rPr>
        <w:t>for</w:t>
      </w:r>
      <w:proofErr w:type="gramEnd"/>
      <w:r>
        <w:rPr>
          <w:rFonts w:ascii="Arial" w:hAnsi="Arial" w:cs="Arial"/>
          <w:lang w:eastAsia="x-none"/>
        </w:rPr>
        <w:t xml:space="preserve"> all entities. </w:t>
      </w:r>
      <w:r w:rsidR="005B6E8C">
        <w:rPr>
          <w:rFonts w:ascii="Arial" w:hAnsi="Arial" w:cs="Arial"/>
          <w:lang w:eastAsia="x-none"/>
        </w:rPr>
        <w:t>L</w:t>
      </w:r>
      <w:r>
        <w:rPr>
          <w:rFonts w:ascii="Arial" w:hAnsi="Arial" w:cs="Arial"/>
          <w:lang w:eastAsia="x-none"/>
        </w:rPr>
        <w:t>eases between component units or between the primary government and component un</w:t>
      </w:r>
      <w:r w:rsidR="005B6E8C">
        <w:rPr>
          <w:rFonts w:ascii="Arial" w:hAnsi="Arial" w:cs="Arial"/>
          <w:lang w:eastAsia="x-none"/>
        </w:rPr>
        <w:t>its are required to be presented separately in the financial statements. The lease liability and lease receivable between the entities must agree.</w:t>
      </w:r>
      <w:r>
        <w:rPr>
          <w:rFonts w:ascii="Arial" w:hAnsi="Arial" w:cs="Arial"/>
          <w:lang w:eastAsia="x-none"/>
        </w:rPr>
        <w:t xml:space="preserve"> </w:t>
      </w:r>
    </w:p>
    <w:p w14:paraId="16C3E6E5" w14:textId="77777777" w:rsidR="004B07E8" w:rsidRPr="001D485F" w:rsidRDefault="004B07E8" w:rsidP="001D485F">
      <w:pPr>
        <w:rPr>
          <w:rFonts w:ascii="Arial" w:hAnsi="Arial" w:cs="Arial"/>
          <w:lang w:eastAsia="x-none"/>
        </w:rPr>
      </w:pPr>
    </w:p>
    <w:p w14:paraId="11CB5033" w14:textId="48690977" w:rsidR="001D485F" w:rsidRPr="001D485F" w:rsidRDefault="00482BFD" w:rsidP="001D485F">
      <w:pPr>
        <w:rPr>
          <w:rFonts w:ascii="Arial" w:hAnsi="Arial" w:cs="Arial"/>
          <w:lang w:eastAsia="x-none"/>
        </w:rPr>
      </w:pPr>
      <w:r>
        <w:rPr>
          <w:rFonts w:ascii="Arial" w:hAnsi="Arial" w:cs="Arial"/>
          <w:lang w:eastAsia="x-none"/>
        </w:rPr>
        <w:t>For “yes”</w:t>
      </w:r>
      <w:r w:rsidR="00174330">
        <w:rPr>
          <w:rFonts w:ascii="Arial" w:hAnsi="Arial" w:cs="Arial"/>
          <w:lang w:eastAsia="x-none"/>
        </w:rPr>
        <w:t xml:space="preserve"> responses</w:t>
      </w:r>
      <w:r>
        <w:rPr>
          <w:rFonts w:ascii="Arial" w:hAnsi="Arial" w:cs="Arial"/>
          <w:lang w:eastAsia="x-none"/>
        </w:rPr>
        <w:t xml:space="preserve"> to questions below the main </w:t>
      </w:r>
      <w:r w:rsidR="00174330">
        <w:rPr>
          <w:rFonts w:ascii="Arial" w:hAnsi="Arial" w:cs="Arial"/>
          <w:lang w:eastAsia="x-none"/>
        </w:rPr>
        <w:t>table, additional</w:t>
      </w:r>
      <w:r w:rsidR="000E2F24">
        <w:rPr>
          <w:rFonts w:ascii="Arial" w:hAnsi="Arial" w:cs="Arial"/>
          <w:lang w:eastAsia="x-none"/>
        </w:rPr>
        <w:t xml:space="preserve"> </w:t>
      </w:r>
      <w:r w:rsidR="001D485F" w:rsidRPr="001D485F">
        <w:rPr>
          <w:rFonts w:ascii="Arial" w:hAnsi="Arial" w:cs="Arial"/>
          <w:lang w:eastAsia="x-none"/>
        </w:rPr>
        <w:t>disclosure</w:t>
      </w:r>
      <w:r w:rsidR="000E2F24">
        <w:rPr>
          <w:rFonts w:ascii="Arial" w:hAnsi="Arial" w:cs="Arial"/>
          <w:lang w:eastAsia="x-none"/>
        </w:rPr>
        <w:t>s are required</w:t>
      </w:r>
      <w:r w:rsidR="001D485F" w:rsidRPr="001D485F">
        <w:rPr>
          <w:rFonts w:ascii="Arial" w:hAnsi="Arial" w:cs="Arial"/>
          <w:lang w:eastAsia="x-none"/>
        </w:rPr>
        <w:t xml:space="preserve"> </w:t>
      </w:r>
      <w:r w:rsidR="000E2F24">
        <w:rPr>
          <w:rFonts w:ascii="Arial" w:hAnsi="Arial" w:cs="Arial"/>
          <w:lang w:eastAsia="x-none"/>
        </w:rPr>
        <w:t xml:space="preserve">for </w:t>
      </w:r>
      <w:r w:rsidR="001D485F" w:rsidRPr="001D485F">
        <w:rPr>
          <w:rFonts w:ascii="Arial" w:hAnsi="Arial" w:cs="Arial"/>
          <w:lang w:eastAsia="x-none"/>
        </w:rPr>
        <w:t>lease payables</w:t>
      </w:r>
      <w:r w:rsidR="000E2F24">
        <w:rPr>
          <w:rFonts w:ascii="Arial" w:hAnsi="Arial" w:cs="Arial"/>
          <w:lang w:eastAsia="x-none"/>
        </w:rPr>
        <w:t xml:space="preserve"> reported</w:t>
      </w:r>
      <w:r w:rsidR="001D485F" w:rsidRPr="001D485F">
        <w:rPr>
          <w:rFonts w:ascii="Arial" w:hAnsi="Arial" w:cs="Arial"/>
          <w:lang w:eastAsia="x-none"/>
        </w:rPr>
        <w:t xml:space="preserve"> in</w:t>
      </w:r>
      <w:r w:rsidR="000E2F24">
        <w:rPr>
          <w:rFonts w:ascii="Arial" w:hAnsi="Arial" w:cs="Arial"/>
          <w:lang w:eastAsia="x-none"/>
        </w:rPr>
        <w:t xml:space="preserve"> the</w:t>
      </w:r>
      <w:r w:rsidR="0020129D">
        <w:rPr>
          <w:rFonts w:ascii="Arial" w:hAnsi="Arial" w:cs="Arial"/>
          <w:lang w:eastAsia="x-none"/>
        </w:rPr>
        <w:t xml:space="preserve"> Lessee</w:t>
      </w:r>
      <w:r w:rsidR="001D485F" w:rsidRPr="001D485F">
        <w:rPr>
          <w:rFonts w:ascii="Arial" w:hAnsi="Arial" w:cs="Arial"/>
          <w:lang w:eastAsia="x-none"/>
        </w:rPr>
        <w:t xml:space="preserve"> Section of WS 301.  Please </w:t>
      </w:r>
      <w:r w:rsidR="00AB216D">
        <w:rPr>
          <w:rFonts w:ascii="Arial" w:hAnsi="Arial" w:cs="Arial"/>
          <w:lang w:eastAsia="x-none"/>
        </w:rPr>
        <w:t xml:space="preserve">complete </w:t>
      </w:r>
      <w:r w:rsidR="001D485F" w:rsidRPr="001D485F">
        <w:rPr>
          <w:rFonts w:ascii="Arial" w:hAnsi="Arial" w:cs="Arial"/>
          <w:lang w:eastAsia="x-none"/>
        </w:rPr>
        <w:t xml:space="preserve">the </w:t>
      </w:r>
      <w:r w:rsidR="001D485F" w:rsidRPr="0020129D">
        <w:rPr>
          <w:rFonts w:ascii="Arial" w:hAnsi="Arial" w:cs="Arial"/>
          <w:b/>
          <w:bCs/>
          <w:lang w:eastAsia="x-none"/>
        </w:rPr>
        <w:t>WS 301</w:t>
      </w:r>
      <w:r w:rsidR="00D35962">
        <w:rPr>
          <w:rFonts w:ascii="Arial" w:hAnsi="Arial" w:cs="Arial"/>
          <w:b/>
          <w:bCs/>
          <w:lang w:eastAsia="x-none"/>
        </w:rPr>
        <w:t xml:space="preserve"> Narrative in the A</w:t>
      </w:r>
      <w:r w:rsidR="002E3598">
        <w:rPr>
          <w:rFonts w:ascii="Arial" w:hAnsi="Arial" w:cs="Arial"/>
          <w:b/>
          <w:bCs/>
          <w:lang w:eastAsia="x-none"/>
        </w:rPr>
        <w:t>CFR</w:t>
      </w:r>
      <w:r w:rsidR="00D35962">
        <w:rPr>
          <w:rFonts w:ascii="Arial" w:hAnsi="Arial" w:cs="Arial"/>
          <w:b/>
          <w:bCs/>
          <w:lang w:eastAsia="x-none"/>
        </w:rPr>
        <w:t xml:space="preserve"> Package Narratives.</w:t>
      </w:r>
    </w:p>
    <w:p w14:paraId="3FD05E43" w14:textId="77777777" w:rsidR="001D485F" w:rsidRPr="001D485F" w:rsidRDefault="001D485F" w:rsidP="001D485F">
      <w:pPr>
        <w:rPr>
          <w:rFonts w:ascii="Arial" w:hAnsi="Arial" w:cs="Arial"/>
          <w:lang w:eastAsia="x-none"/>
        </w:rPr>
      </w:pPr>
      <w:r w:rsidRPr="001D485F">
        <w:rPr>
          <w:rFonts w:ascii="Arial" w:hAnsi="Arial" w:cs="Arial"/>
          <w:lang w:eastAsia="x-none"/>
        </w:rPr>
        <w:t xml:space="preserve"> </w:t>
      </w:r>
    </w:p>
    <w:p w14:paraId="74248E20" w14:textId="20803712" w:rsidR="001D485F" w:rsidRDefault="002D2C8F" w:rsidP="001D485F">
      <w:pPr>
        <w:rPr>
          <w:rFonts w:ascii="Arial" w:hAnsi="Arial" w:cs="Arial"/>
          <w:b/>
          <w:bCs/>
          <w:lang w:eastAsia="x-none"/>
        </w:rPr>
      </w:pPr>
      <w:r>
        <w:rPr>
          <w:rFonts w:ascii="Arial" w:hAnsi="Arial" w:cs="Arial"/>
          <w:lang w:eastAsia="x-none"/>
        </w:rPr>
        <w:t xml:space="preserve">For </w:t>
      </w:r>
      <w:r w:rsidR="006645B1">
        <w:rPr>
          <w:rFonts w:ascii="Arial" w:hAnsi="Arial" w:cs="Arial"/>
          <w:lang w:eastAsia="x-none"/>
        </w:rPr>
        <w:t xml:space="preserve">“yes” responses </w:t>
      </w:r>
      <w:r w:rsidR="00575E65">
        <w:rPr>
          <w:rFonts w:ascii="Arial" w:hAnsi="Arial" w:cs="Arial"/>
          <w:lang w:eastAsia="x-none"/>
        </w:rPr>
        <w:t xml:space="preserve">to questions in the </w:t>
      </w:r>
      <w:r w:rsidR="009919B6">
        <w:rPr>
          <w:rFonts w:ascii="Arial" w:hAnsi="Arial" w:cs="Arial"/>
          <w:lang w:eastAsia="x-none"/>
        </w:rPr>
        <w:t xml:space="preserve">Lessor </w:t>
      </w:r>
      <w:r w:rsidR="00E73713">
        <w:rPr>
          <w:rFonts w:ascii="Arial" w:hAnsi="Arial" w:cs="Arial"/>
          <w:lang w:eastAsia="x-none"/>
        </w:rPr>
        <w:t>section</w:t>
      </w:r>
      <w:r w:rsidR="00F71972">
        <w:rPr>
          <w:rFonts w:ascii="Arial" w:hAnsi="Arial" w:cs="Arial"/>
          <w:lang w:eastAsia="x-none"/>
        </w:rPr>
        <w:t>, a</w:t>
      </w:r>
      <w:r w:rsidR="000E2F24">
        <w:rPr>
          <w:rFonts w:ascii="Arial" w:hAnsi="Arial" w:cs="Arial"/>
          <w:lang w:eastAsia="x-none"/>
        </w:rPr>
        <w:t xml:space="preserve">dditional </w:t>
      </w:r>
      <w:r w:rsidR="001D485F" w:rsidRPr="001D485F">
        <w:rPr>
          <w:rFonts w:ascii="Arial" w:hAnsi="Arial" w:cs="Arial"/>
          <w:lang w:eastAsia="x-none"/>
        </w:rPr>
        <w:t>disclosure</w:t>
      </w:r>
      <w:r w:rsidR="000E2F24">
        <w:rPr>
          <w:rFonts w:ascii="Arial" w:hAnsi="Arial" w:cs="Arial"/>
          <w:lang w:eastAsia="x-none"/>
        </w:rPr>
        <w:t>s are required if</w:t>
      </w:r>
      <w:r w:rsidR="001D485F" w:rsidRPr="001D485F">
        <w:rPr>
          <w:rFonts w:ascii="Arial" w:hAnsi="Arial" w:cs="Arial"/>
          <w:lang w:eastAsia="x-none"/>
        </w:rPr>
        <w:t xml:space="preserve"> y</w:t>
      </w:r>
      <w:r w:rsidR="00CA730F">
        <w:rPr>
          <w:rFonts w:ascii="Arial" w:hAnsi="Arial" w:cs="Arial"/>
          <w:lang w:eastAsia="x-none"/>
        </w:rPr>
        <w:t>ou</w:t>
      </w:r>
      <w:r w:rsidR="00E55A18">
        <w:rPr>
          <w:rFonts w:ascii="Arial" w:hAnsi="Arial" w:cs="Arial"/>
          <w:lang w:eastAsia="x-none"/>
        </w:rPr>
        <w:t xml:space="preserve"> as the Lessor</w:t>
      </w:r>
      <w:r w:rsidR="00CA730F">
        <w:rPr>
          <w:rFonts w:ascii="Arial" w:hAnsi="Arial" w:cs="Arial"/>
          <w:lang w:eastAsia="x-none"/>
        </w:rPr>
        <w:t xml:space="preserve"> reported lease receivables in your financial statements that fall under the </w:t>
      </w:r>
      <w:r w:rsidR="001D485F" w:rsidRPr="001D485F">
        <w:rPr>
          <w:rFonts w:ascii="Arial" w:hAnsi="Arial" w:cs="Arial"/>
          <w:lang w:eastAsia="x-none"/>
        </w:rPr>
        <w:t xml:space="preserve">definition of GASB 87. </w:t>
      </w:r>
      <w:r w:rsidR="00D35962" w:rsidRPr="00D35962">
        <w:rPr>
          <w:rFonts w:ascii="Arial" w:hAnsi="Arial" w:cs="Arial"/>
          <w:lang w:eastAsia="x-none"/>
        </w:rPr>
        <w:t xml:space="preserve">Please </w:t>
      </w:r>
      <w:r w:rsidR="00AB216D">
        <w:rPr>
          <w:rFonts w:ascii="Arial" w:hAnsi="Arial" w:cs="Arial"/>
          <w:lang w:eastAsia="x-none"/>
        </w:rPr>
        <w:t>complete</w:t>
      </w:r>
      <w:r w:rsidR="00D35962" w:rsidRPr="00D35962">
        <w:rPr>
          <w:rFonts w:ascii="Arial" w:hAnsi="Arial" w:cs="Arial"/>
          <w:lang w:eastAsia="x-none"/>
        </w:rPr>
        <w:t xml:space="preserve"> the </w:t>
      </w:r>
      <w:r w:rsidR="00D35962" w:rsidRPr="00D35962">
        <w:rPr>
          <w:rFonts w:ascii="Arial" w:hAnsi="Arial" w:cs="Arial"/>
          <w:b/>
          <w:bCs/>
          <w:lang w:eastAsia="x-none"/>
        </w:rPr>
        <w:t>WS 301 Narrative in the A</w:t>
      </w:r>
      <w:r w:rsidR="00AB216D">
        <w:rPr>
          <w:rFonts w:ascii="Arial" w:hAnsi="Arial" w:cs="Arial"/>
          <w:b/>
          <w:bCs/>
          <w:lang w:eastAsia="x-none"/>
        </w:rPr>
        <w:t>CFR</w:t>
      </w:r>
      <w:r w:rsidR="00D35962" w:rsidRPr="00D35962">
        <w:rPr>
          <w:rFonts w:ascii="Arial" w:hAnsi="Arial" w:cs="Arial"/>
          <w:b/>
          <w:bCs/>
          <w:lang w:eastAsia="x-none"/>
        </w:rPr>
        <w:t xml:space="preserve"> Package Narratives.</w:t>
      </w:r>
    </w:p>
    <w:p w14:paraId="62AF8D47" w14:textId="77777777" w:rsidR="00893572" w:rsidRDefault="00893572" w:rsidP="001D485F">
      <w:pPr>
        <w:rPr>
          <w:rFonts w:ascii="Arial" w:hAnsi="Arial" w:cs="Arial"/>
          <w:b/>
          <w:bCs/>
          <w:lang w:eastAsia="x-none"/>
        </w:rPr>
      </w:pPr>
    </w:p>
    <w:p w14:paraId="040EB8F6" w14:textId="52DC58E9" w:rsidR="003C2E0D" w:rsidRDefault="00650B32" w:rsidP="001D485F">
      <w:pPr>
        <w:rPr>
          <w:rFonts w:ascii="Arial" w:hAnsi="Arial" w:cs="Arial"/>
          <w:b/>
          <w:bCs/>
          <w:sz w:val="24"/>
          <w:szCs w:val="24"/>
          <w:u w:val="single"/>
          <w:lang w:eastAsia="x-none"/>
        </w:rPr>
      </w:pPr>
      <w:r w:rsidRPr="2070C875">
        <w:rPr>
          <w:rFonts w:ascii="Arial" w:hAnsi="Arial" w:cs="Arial"/>
          <w:b/>
          <w:sz w:val="24"/>
          <w:szCs w:val="24"/>
          <w:u w:val="single"/>
        </w:rPr>
        <w:t>Subscription Ba</w:t>
      </w:r>
      <w:r w:rsidR="006D1C64" w:rsidRPr="2070C875">
        <w:rPr>
          <w:rFonts w:ascii="Arial" w:hAnsi="Arial" w:cs="Arial"/>
          <w:b/>
          <w:sz w:val="24"/>
          <w:szCs w:val="24"/>
          <w:u w:val="single"/>
        </w:rPr>
        <w:t xml:space="preserve">sed Information Technology </w:t>
      </w:r>
      <w:r w:rsidR="00F367E8" w:rsidRPr="2070C875">
        <w:rPr>
          <w:rFonts w:ascii="Arial" w:hAnsi="Arial" w:cs="Arial"/>
          <w:b/>
          <w:sz w:val="24"/>
          <w:szCs w:val="24"/>
          <w:u w:val="single"/>
        </w:rPr>
        <w:t>Arrangements- SBITAs</w:t>
      </w:r>
      <w:r w:rsidRPr="2070C875">
        <w:rPr>
          <w:rFonts w:ascii="Arial" w:hAnsi="Arial" w:cs="Arial"/>
          <w:b/>
          <w:sz w:val="24"/>
          <w:szCs w:val="24"/>
          <w:u w:val="single"/>
        </w:rPr>
        <w:t xml:space="preserve"> </w:t>
      </w:r>
      <w:r w:rsidR="00992726" w:rsidRPr="2070C875">
        <w:rPr>
          <w:rFonts w:ascii="Arial" w:hAnsi="Arial" w:cs="Arial"/>
          <w:b/>
          <w:sz w:val="24"/>
          <w:szCs w:val="24"/>
          <w:u w:val="single"/>
        </w:rPr>
        <w:t>– (</w:t>
      </w:r>
      <w:r w:rsidRPr="2070C875">
        <w:rPr>
          <w:rFonts w:ascii="Arial" w:hAnsi="Arial" w:cs="Arial"/>
          <w:b/>
          <w:sz w:val="24"/>
          <w:szCs w:val="24"/>
          <w:u w:val="single"/>
        </w:rPr>
        <w:t>30</w:t>
      </w:r>
      <w:r w:rsidR="006D2774" w:rsidRPr="2070C875">
        <w:rPr>
          <w:rFonts w:ascii="Arial" w:hAnsi="Arial" w:cs="Arial"/>
          <w:b/>
          <w:sz w:val="24"/>
          <w:szCs w:val="24"/>
          <w:u w:val="single"/>
        </w:rPr>
        <w:t>2</w:t>
      </w:r>
      <w:r w:rsidRPr="2070C875">
        <w:rPr>
          <w:rFonts w:ascii="Arial" w:hAnsi="Arial" w:cs="Arial"/>
          <w:b/>
          <w:sz w:val="24"/>
          <w:szCs w:val="24"/>
          <w:u w:val="single"/>
        </w:rPr>
        <w:t>)</w:t>
      </w:r>
      <w:r w:rsidR="0092231D" w:rsidRPr="2070C875">
        <w:rPr>
          <w:rFonts w:ascii="Arial" w:hAnsi="Arial" w:cs="Arial"/>
          <w:b/>
          <w:sz w:val="24"/>
          <w:szCs w:val="24"/>
          <w:u w:val="single"/>
        </w:rPr>
        <w:t xml:space="preserve"> </w:t>
      </w:r>
    </w:p>
    <w:p w14:paraId="12026F4A" w14:textId="074DE026" w:rsidR="00650B32" w:rsidRDefault="0092231D" w:rsidP="001D485F">
      <w:pPr>
        <w:rPr>
          <w:rFonts w:ascii="Arial" w:hAnsi="Arial" w:cs="Arial"/>
          <w:b/>
          <w:bCs/>
          <w:color w:val="FF0000"/>
          <w:sz w:val="24"/>
          <w:szCs w:val="24"/>
          <w:lang w:eastAsia="x-none"/>
        </w:rPr>
      </w:pPr>
      <w:r w:rsidRPr="00E31AAA">
        <w:rPr>
          <w:rFonts w:ascii="Arial" w:hAnsi="Arial" w:cs="Arial"/>
          <w:b/>
          <w:bCs/>
          <w:i/>
          <w:iCs/>
          <w:color w:val="FF0000"/>
          <w:sz w:val="24"/>
          <w:szCs w:val="24"/>
          <w:lang w:eastAsia="x-none"/>
        </w:rPr>
        <w:t xml:space="preserve"> </w:t>
      </w:r>
    </w:p>
    <w:tbl>
      <w:tblPr>
        <w:tblW w:w="16067" w:type="dxa"/>
        <w:tblLook w:val="04A0" w:firstRow="1" w:lastRow="0" w:firstColumn="1" w:lastColumn="0" w:noHBand="0" w:noVBand="1"/>
      </w:tblPr>
      <w:tblGrid>
        <w:gridCol w:w="14049"/>
        <w:gridCol w:w="222"/>
        <w:gridCol w:w="1796"/>
      </w:tblGrid>
      <w:tr w:rsidR="002062B5" w:rsidRPr="002D69C9" w14:paraId="5FB9EE79" w14:textId="77777777" w:rsidTr="00D475F7">
        <w:trPr>
          <w:trHeight w:val="312"/>
        </w:trPr>
        <w:tc>
          <w:tcPr>
            <w:tcW w:w="14049" w:type="dxa"/>
            <w:tcBorders>
              <w:top w:val="nil"/>
              <w:left w:val="nil"/>
              <w:bottom w:val="nil"/>
              <w:right w:val="nil"/>
            </w:tcBorders>
            <w:noWrap/>
            <w:vAlign w:val="bottom"/>
            <w:hideMark/>
          </w:tcPr>
          <w:p w14:paraId="6F44976B" w14:textId="31AB14F8" w:rsidR="006B289F" w:rsidRPr="003C5704" w:rsidRDefault="00A87D11" w:rsidP="006C1C5F">
            <w:pPr>
              <w:jc w:val="both"/>
              <w:rPr>
                <w:rFonts w:ascii="Arial" w:hAnsi="Arial" w:cs="Arial"/>
              </w:rPr>
            </w:pPr>
            <w:r w:rsidRPr="003C5704">
              <w:rPr>
                <w:rFonts w:ascii="Arial" w:hAnsi="Arial" w:cs="Arial"/>
                <w:lang w:eastAsia="x-none"/>
              </w:rPr>
              <w:t>For note disclosure, GASB 96 defines</w:t>
            </w:r>
            <w:r w:rsidR="0025631A" w:rsidRPr="003C5704">
              <w:rPr>
                <w:rFonts w:ascii="Arial" w:hAnsi="Arial" w:cs="Arial"/>
              </w:rPr>
              <w:t xml:space="preserve"> a SBITA </w:t>
            </w:r>
            <w:r w:rsidR="00FF6E7F" w:rsidRPr="003C5704">
              <w:rPr>
                <w:rFonts w:ascii="Arial" w:hAnsi="Arial" w:cs="Arial"/>
              </w:rPr>
              <w:t>a</w:t>
            </w:r>
            <w:r w:rsidR="0025631A" w:rsidRPr="003C5704">
              <w:rPr>
                <w:rFonts w:ascii="Arial" w:hAnsi="Arial" w:cs="Arial"/>
              </w:rPr>
              <w:t>s a contract that conveys control of the right to</w:t>
            </w:r>
          </w:p>
          <w:p w14:paraId="52688183" w14:textId="08919053" w:rsidR="0025631A" w:rsidRPr="003C5704" w:rsidRDefault="0025631A" w:rsidP="006C1C5F">
            <w:pPr>
              <w:jc w:val="both"/>
              <w:rPr>
                <w:rFonts w:ascii="Arial" w:hAnsi="Arial" w:cs="Arial"/>
              </w:rPr>
            </w:pPr>
            <w:r w:rsidRPr="003C5704">
              <w:rPr>
                <w:rFonts w:ascii="Arial" w:hAnsi="Arial" w:cs="Arial"/>
              </w:rPr>
              <w:t xml:space="preserve">use another party's (a SBITA </w:t>
            </w:r>
            <w:r w:rsidR="0086247C" w:rsidRPr="003C5704">
              <w:rPr>
                <w:rFonts w:ascii="Arial" w:hAnsi="Arial" w:cs="Arial"/>
              </w:rPr>
              <w:t>vendor’s IT</w:t>
            </w:r>
            <w:r w:rsidRPr="003C5704">
              <w:rPr>
                <w:rFonts w:ascii="Arial" w:hAnsi="Arial" w:cs="Arial"/>
              </w:rPr>
              <w:t xml:space="preserve"> software, alone or in a combination with tangible capital</w:t>
            </w:r>
          </w:p>
          <w:p w14:paraId="585CA86A" w14:textId="535A7427" w:rsidR="00DC59E7" w:rsidRPr="003C5704" w:rsidRDefault="00DC59E7" w:rsidP="006C1C5F">
            <w:pPr>
              <w:jc w:val="both"/>
              <w:rPr>
                <w:rFonts w:ascii="Arial" w:hAnsi="Arial" w:cs="Arial"/>
              </w:rPr>
            </w:pPr>
            <w:r w:rsidRPr="003C5704">
              <w:rPr>
                <w:rFonts w:ascii="Arial" w:hAnsi="Arial" w:cs="Arial"/>
              </w:rPr>
              <w:t>assets (the underlying IT assets)</w:t>
            </w:r>
            <w:r w:rsidR="00FD1A61" w:rsidRPr="003C5704">
              <w:rPr>
                <w:rFonts w:ascii="Arial" w:hAnsi="Arial" w:cs="Arial"/>
              </w:rPr>
              <w:t xml:space="preserve">, as specified in the contract for </w:t>
            </w:r>
            <w:proofErr w:type="gramStart"/>
            <w:r w:rsidR="00FD1A61" w:rsidRPr="003C5704">
              <w:rPr>
                <w:rFonts w:ascii="Arial" w:hAnsi="Arial" w:cs="Arial"/>
              </w:rPr>
              <w:t>a period of time</w:t>
            </w:r>
            <w:proofErr w:type="gramEnd"/>
            <w:r w:rsidR="00FD1A61" w:rsidRPr="003C5704">
              <w:rPr>
                <w:rFonts w:ascii="Arial" w:hAnsi="Arial" w:cs="Arial"/>
              </w:rPr>
              <w:t xml:space="preserve"> in an exchange </w:t>
            </w:r>
            <w:r w:rsidR="002345B8" w:rsidRPr="003C5704">
              <w:rPr>
                <w:rFonts w:ascii="Arial" w:hAnsi="Arial" w:cs="Arial"/>
              </w:rPr>
              <w:t>or</w:t>
            </w:r>
          </w:p>
          <w:p w14:paraId="1850F028" w14:textId="76363CF1" w:rsidR="00B051DF" w:rsidRPr="00453525" w:rsidRDefault="002345B8" w:rsidP="006C1C5F">
            <w:pPr>
              <w:jc w:val="both"/>
              <w:rPr>
                <w:rFonts w:ascii="Arial" w:hAnsi="Arial" w:cs="Arial"/>
              </w:rPr>
            </w:pPr>
            <w:r w:rsidRPr="003C5704">
              <w:rPr>
                <w:rFonts w:ascii="Arial" w:hAnsi="Arial" w:cs="Arial"/>
              </w:rPr>
              <w:t>an exchange</w:t>
            </w:r>
            <w:r w:rsidR="000A68D4" w:rsidRPr="003C5704">
              <w:rPr>
                <w:rFonts w:ascii="Arial" w:hAnsi="Arial" w:cs="Arial"/>
              </w:rPr>
              <w:t>-like transaction</w:t>
            </w:r>
            <w:r w:rsidR="0086247C" w:rsidRPr="003C5704">
              <w:rPr>
                <w:rFonts w:ascii="Arial" w:hAnsi="Arial" w:cs="Arial"/>
              </w:rPr>
              <w:t>.</w:t>
            </w:r>
            <w:r w:rsidR="005755C7" w:rsidRPr="003C5704">
              <w:rPr>
                <w:rFonts w:ascii="Arial" w:hAnsi="Arial" w:cs="Arial"/>
              </w:rPr>
              <w:t xml:space="preserve"> See the</w:t>
            </w:r>
            <w:r w:rsidR="003B0490" w:rsidRPr="003C5704">
              <w:rPr>
                <w:rFonts w:ascii="Arial" w:hAnsi="Arial" w:cs="Arial"/>
              </w:rPr>
              <w:t xml:space="preserve"> </w:t>
            </w:r>
            <w:hyperlink r:id="rId19" w:history="1">
              <w:r w:rsidR="003B0490" w:rsidRPr="00453525">
                <w:rPr>
                  <w:rStyle w:val="Hyperlink"/>
                  <w:rFonts w:ascii="Arial" w:hAnsi="Arial" w:cs="Arial"/>
                </w:rPr>
                <w:t>GASB 96</w:t>
              </w:r>
              <w:r w:rsidR="005755C7" w:rsidRPr="003C5704">
                <w:rPr>
                  <w:rStyle w:val="Hyperlink"/>
                  <w:rFonts w:ascii="Arial" w:hAnsi="Arial" w:cs="Arial"/>
                </w:rPr>
                <w:t xml:space="preserve"> </w:t>
              </w:r>
              <w:r w:rsidR="00C15413" w:rsidRPr="003C5704">
                <w:rPr>
                  <w:rStyle w:val="Hyperlink"/>
                  <w:rFonts w:ascii="Arial" w:hAnsi="Arial" w:cs="Arial"/>
                </w:rPr>
                <w:t>F</w:t>
              </w:r>
              <w:r w:rsidR="00C15413" w:rsidRPr="00453525">
                <w:rPr>
                  <w:rStyle w:val="Hyperlink"/>
                  <w:rFonts w:ascii="Arial" w:hAnsi="Arial" w:cs="Arial"/>
                </w:rPr>
                <w:t xml:space="preserve">inancial Reporting </w:t>
              </w:r>
              <w:r w:rsidR="0031263B" w:rsidRPr="00453525">
                <w:rPr>
                  <w:rStyle w:val="Hyperlink"/>
                  <w:rFonts w:ascii="Arial" w:hAnsi="Arial" w:cs="Arial"/>
                </w:rPr>
                <w:t>Update</w:t>
              </w:r>
            </w:hyperlink>
            <w:r w:rsidR="0031263B" w:rsidRPr="00453525">
              <w:rPr>
                <w:rFonts w:ascii="Arial" w:hAnsi="Arial" w:cs="Arial"/>
              </w:rPr>
              <w:t xml:space="preserve"> for more information.</w:t>
            </w:r>
          </w:p>
          <w:p w14:paraId="762F494F" w14:textId="77777777" w:rsidR="009E31EB" w:rsidRDefault="009E31EB" w:rsidP="0051446B">
            <w:pPr>
              <w:jc w:val="both"/>
              <w:rPr>
                <w:rFonts w:ascii="Arial" w:hAnsi="Arial" w:cs="Arial"/>
              </w:rPr>
            </w:pPr>
          </w:p>
          <w:p w14:paraId="00D9365F" w14:textId="721E87E9" w:rsidR="003B0490" w:rsidRPr="0025631A" w:rsidRDefault="003B0490" w:rsidP="0051446B">
            <w:pPr>
              <w:jc w:val="both"/>
              <w:rPr>
                <w:rFonts w:ascii="Arial" w:hAnsi="Arial" w:cs="Arial"/>
              </w:rPr>
            </w:pPr>
          </w:p>
        </w:tc>
        <w:tc>
          <w:tcPr>
            <w:tcW w:w="222" w:type="dxa"/>
            <w:tcBorders>
              <w:top w:val="nil"/>
              <w:left w:val="nil"/>
              <w:bottom w:val="nil"/>
              <w:right w:val="nil"/>
            </w:tcBorders>
            <w:noWrap/>
            <w:vAlign w:val="bottom"/>
            <w:hideMark/>
          </w:tcPr>
          <w:p w14:paraId="28078E5D" w14:textId="77777777" w:rsidR="0025631A" w:rsidRPr="0025631A" w:rsidRDefault="0025631A" w:rsidP="0051446B">
            <w:pPr>
              <w:jc w:val="both"/>
              <w:rPr>
                <w:rFonts w:ascii="Arial" w:hAnsi="Arial" w:cs="Arial"/>
                <w:i/>
                <w:iCs/>
              </w:rPr>
            </w:pPr>
          </w:p>
        </w:tc>
        <w:tc>
          <w:tcPr>
            <w:tcW w:w="1796" w:type="dxa"/>
            <w:tcBorders>
              <w:top w:val="nil"/>
              <w:left w:val="nil"/>
              <w:bottom w:val="nil"/>
              <w:right w:val="nil"/>
            </w:tcBorders>
            <w:noWrap/>
            <w:vAlign w:val="bottom"/>
            <w:hideMark/>
          </w:tcPr>
          <w:p w14:paraId="44ED53F0" w14:textId="77777777" w:rsidR="0025631A" w:rsidRPr="0025631A" w:rsidRDefault="0025631A" w:rsidP="0051446B">
            <w:pPr>
              <w:jc w:val="both"/>
              <w:rPr>
                <w:i/>
                <w:iCs/>
              </w:rPr>
            </w:pPr>
          </w:p>
        </w:tc>
      </w:tr>
    </w:tbl>
    <w:p w14:paraId="7444B7D7" w14:textId="50066C50" w:rsidR="00B051DF" w:rsidRDefault="00B051DF" w:rsidP="0051446B">
      <w:pPr>
        <w:jc w:val="both"/>
        <w:rPr>
          <w:rFonts w:ascii="Arial" w:hAnsi="Arial" w:cs="Arial"/>
        </w:rPr>
      </w:pPr>
      <w:r w:rsidRPr="00DC71B3">
        <w:rPr>
          <w:rFonts w:ascii="Arial" w:hAnsi="Arial" w:cs="Arial"/>
        </w:rPr>
        <w:t>WS 30</w:t>
      </w:r>
      <w:r w:rsidR="00DC71B3" w:rsidRPr="00DC71B3">
        <w:rPr>
          <w:rFonts w:ascii="Arial" w:hAnsi="Arial" w:cs="Arial"/>
        </w:rPr>
        <w:t>2</w:t>
      </w:r>
      <w:r w:rsidRPr="00DC71B3">
        <w:rPr>
          <w:rFonts w:ascii="Arial" w:hAnsi="Arial" w:cs="Arial"/>
        </w:rPr>
        <w:t xml:space="preserve"> is to be completed for </w:t>
      </w:r>
      <w:r w:rsidR="001366C0">
        <w:rPr>
          <w:rFonts w:ascii="Arial" w:hAnsi="Arial" w:cs="Arial"/>
        </w:rPr>
        <w:t xml:space="preserve">SBITAs </w:t>
      </w:r>
      <w:r w:rsidRPr="00DC71B3">
        <w:rPr>
          <w:rFonts w:ascii="Arial" w:hAnsi="Arial" w:cs="Arial"/>
        </w:rPr>
        <w:t xml:space="preserve">that fall under the GASB </w:t>
      </w:r>
      <w:r w:rsidR="008A695C">
        <w:rPr>
          <w:rFonts w:ascii="Arial" w:hAnsi="Arial" w:cs="Arial"/>
        </w:rPr>
        <w:t>96</w:t>
      </w:r>
      <w:r w:rsidRPr="00DC71B3">
        <w:rPr>
          <w:rFonts w:ascii="Arial" w:hAnsi="Arial" w:cs="Arial"/>
        </w:rPr>
        <w:t xml:space="preserve"> definition. If future </w:t>
      </w:r>
      <w:r w:rsidR="00746550">
        <w:rPr>
          <w:rFonts w:ascii="Arial" w:hAnsi="Arial" w:cs="Arial"/>
        </w:rPr>
        <w:t>SBIT</w:t>
      </w:r>
      <w:r w:rsidR="003F408C">
        <w:rPr>
          <w:rFonts w:ascii="Arial" w:hAnsi="Arial" w:cs="Arial"/>
        </w:rPr>
        <w:t>A</w:t>
      </w:r>
      <w:r w:rsidRPr="00DC71B3">
        <w:rPr>
          <w:rFonts w:ascii="Arial" w:hAnsi="Arial" w:cs="Arial"/>
        </w:rPr>
        <w:t xml:space="preserve"> payments </w:t>
      </w:r>
      <w:r w:rsidR="00746550">
        <w:rPr>
          <w:rFonts w:ascii="Arial" w:hAnsi="Arial" w:cs="Arial"/>
        </w:rPr>
        <w:t xml:space="preserve">    </w:t>
      </w:r>
      <w:r w:rsidRPr="00DC71B3">
        <w:rPr>
          <w:rFonts w:ascii="Arial" w:hAnsi="Arial" w:cs="Arial"/>
        </w:rPr>
        <w:t xml:space="preserve">extend beyond </w:t>
      </w:r>
      <w:r w:rsidRPr="23A8EF44">
        <w:rPr>
          <w:rFonts w:ascii="Arial" w:hAnsi="Arial" w:cs="Arial"/>
        </w:rPr>
        <w:t>207</w:t>
      </w:r>
      <w:r w:rsidR="00A5101E">
        <w:rPr>
          <w:rFonts w:ascii="Arial" w:hAnsi="Arial" w:cs="Arial"/>
        </w:rPr>
        <w:t>6</w:t>
      </w:r>
      <w:r w:rsidRPr="00DC71B3">
        <w:rPr>
          <w:rFonts w:ascii="Arial" w:hAnsi="Arial" w:cs="Arial"/>
        </w:rPr>
        <w:t xml:space="preserve">, include a separate schedule breaking out the </w:t>
      </w:r>
      <w:r w:rsidR="004D2473">
        <w:rPr>
          <w:rFonts w:ascii="Arial" w:hAnsi="Arial" w:cs="Arial"/>
        </w:rPr>
        <w:t>SBITA</w:t>
      </w:r>
      <w:r w:rsidRPr="00DC71B3">
        <w:rPr>
          <w:rFonts w:ascii="Arial" w:hAnsi="Arial" w:cs="Arial"/>
        </w:rPr>
        <w:t xml:space="preserve"> payments in 5-year increments until the end of the </w:t>
      </w:r>
      <w:r w:rsidR="004D2473">
        <w:rPr>
          <w:rFonts w:ascii="Arial" w:hAnsi="Arial" w:cs="Arial"/>
        </w:rPr>
        <w:t>arrangement</w:t>
      </w:r>
      <w:r w:rsidRPr="00DC71B3">
        <w:rPr>
          <w:rFonts w:ascii="Arial" w:hAnsi="Arial" w:cs="Arial"/>
        </w:rPr>
        <w:t>.</w:t>
      </w:r>
    </w:p>
    <w:p w14:paraId="68954D3D" w14:textId="77777777" w:rsidR="001B29A8" w:rsidRDefault="001B29A8" w:rsidP="0051446B">
      <w:pPr>
        <w:jc w:val="both"/>
        <w:rPr>
          <w:rFonts w:ascii="Arial" w:hAnsi="Arial" w:cs="Arial"/>
        </w:rPr>
      </w:pPr>
    </w:p>
    <w:p w14:paraId="3F713B30" w14:textId="54851A79" w:rsidR="001B29A8" w:rsidRDefault="001B29A8" w:rsidP="001B29A8">
      <w:pPr>
        <w:rPr>
          <w:rFonts w:ascii="Arial" w:hAnsi="Arial" w:cs="Arial"/>
          <w:b/>
          <w:bCs/>
          <w:sz w:val="24"/>
          <w:szCs w:val="24"/>
          <w:u w:val="single"/>
          <w:lang w:eastAsia="x-none"/>
        </w:rPr>
      </w:pPr>
      <w:r>
        <w:rPr>
          <w:rFonts w:ascii="Arial" w:hAnsi="Arial" w:cs="Arial"/>
          <w:b/>
          <w:bCs/>
          <w:sz w:val="24"/>
          <w:szCs w:val="24"/>
          <w:u w:val="single"/>
          <w:lang w:eastAsia="x-none"/>
        </w:rPr>
        <w:t>Public-Private &amp; Public-Public Partnership Arrangements (P</w:t>
      </w:r>
      <w:r w:rsidR="00270111">
        <w:rPr>
          <w:rFonts w:ascii="Arial" w:hAnsi="Arial" w:cs="Arial"/>
          <w:b/>
          <w:bCs/>
          <w:sz w:val="24"/>
          <w:szCs w:val="24"/>
          <w:u w:val="single"/>
          <w:lang w:eastAsia="x-none"/>
        </w:rPr>
        <w:t>PP</w:t>
      </w:r>
      <w:r>
        <w:rPr>
          <w:rFonts w:ascii="Arial" w:hAnsi="Arial" w:cs="Arial"/>
          <w:b/>
          <w:bCs/>
          <w:sz w:val="24"/>
          <w:szCs w:val="24"/>
          <w:u w:val="single"/>
          <w:lang w:eastAsia="x-none"/>
        </w:rPr>
        <w:t>s)</w:t>
      </w:r>
      <w:r w:rsidRPr="006D2774">
        <w:rPr>
          <w:rFonts w:ascii="Arial" w:hAnsi="Arial" w:cs="Arial"/>
          <w:b/>
          <w:bCs/>
          <w:sz w:val="24"/>
          <w:szCs w:val="24"/>
          <w:u w:val="single"/>
          <w:lang w:eastAsia="x-none"/>
        </w:rPr>
        <w:t xml:space="preserve"> –</w:t>
      </w:r>
      <w:r>
        <w:rPr>
          <w:rFonts w:ascii="Arial" w:hAnsi="Arial" w:cs="Arial"/>
          <w:b/>
          <w:bCs/>
          <w:sz w:val="24"/>
          <w:szCs w:val="24"/>
          <w:u w:val="single"/>
          <w:lang w:eastAsia="x-none"/>
        </w:rPr>
        <w:t xml:space="preserve"> (</w:t>
      </w:r>
      <w:r w:rsidRPr="006D2774">
        <w:rPr>
          <w:rFonts w:ascii="Arial" w:hAnsi="Arial" w:cs="Arial"/>
          <w:b/>
          <w:bCs/>
          <w:sz w:val="24"/>
          <w:szCs w:val="24"/>
          <w:u w:val="single"/>
          <w:lang w:eastAsia="x-none"/>
        </w:rPr>
        <w:t>30</w:t>
      </w:r>
      <w:r w:rsidR="008E0E00">
        <w:rPr>
          <w:rFonts w:ascii="Arial" w:hAnsi="Arial" w:cs="Arial"/>
          <w:b/>
          <w:bCs/>
          <w:sz w:val="24"/>
          <w:szCs w:val="24"/>
          <w:u w:val="single"/>
          <w:lang w:eastAsia="x-none"/>
        </w:rPr>
        <w:t>3</w:t>
      </w:r>
      <w:r w:rsidRPr="006D2774">
        <w:rPr>
          <w:rFonts w:ascii="Arial" w:hAnsi="Arial" w:cs="Arial"/>
          <w:b/>
          <w:bCs/>
          <w:sz w:val="24"/>
          <w:szCs w:val="24"/>
          <w:u w:val="single"/>
          <w:lang w:eastAsia="x-none"/>
        </w:rPr>
        <w:t>)</w:t>
      </w:r>
      <w:r>
        <w:rPr>
          <w:rFonts w:ascii="Arial" w:hAnsi="Arial" w:cs="Arial"/>
          <w:b/>
          <w:bCs/>
          <w:sz w:val="24"/>
          <w:szCs w:val="24"/>
          <w:u w:val="single"/>
          <w:lang w:eastAsia="x-none"/>
        </w:rPr>
        <w:t xml:space="preserve"> </w:t>
      </w:r>
    </w:p>
    <w:p w14:paraId="1D756B47" w14:textId="77777777" w:rsidR="005672B3" w:rsidRDefault="005672B3" w:rsidP="001B29A8">
      <w:pPr>
        <w:rPr>
          <w:rFonts w:ascii="Arial" w:hAnsi="Arial" w:cs="Arial"/>
          <w:b/>
          <w:bCs/>
          <w:i/>
          <w:iCs/>
          <w:color w:val="FF0000"/>
          <w:sz w:val="24"/>
          <w:szCs w:val="24"/>
          <w:lang w:eastAsia="x-none"/>
        </w:rPr>
      </w:pPr>
    </w:p>
    <w:p w14:paraId="149C8DD6" w14:textId="22F5ABB6" w:rsidR="005672B3" w:rsidRDefault="004F58AB" w:rsidP="001B29A8">
      <w:pPr>
        <w:rPr>
          <w:rFonts w:ascii="Arial" w:hAnsi="Arial" w:cs="Arial"/>
          <w:lang w:eastAsia="x-none"/>
        </w:rPr>
      </w:pPr>
      <w:r>
        <w:rPr>
          <w:rFonts w:ascii="Arial" w:hAnsi="Arial" w:cs="Arial"/>
          <w:lang w:eastAsia="x-none"/>
        </w:rPr>
        <w:t>WS</w:t>
      </w:r>
      <w:r w:rsidR="005672B3">
        <w:rPr>
          <w:rFonts w:ascii="Arial" w:hAnsi="Arial" w:cs="Arial"/>
          <w:lang w:eastAsia="x-none"/>
        </w:rPr>
        <w:t xml:space="preserve"> 303 is required for arrangements that qualify as a P</w:t>
      </w:r>
      <w:r w:rsidR="00270111">
        <w:rPr>
          <w:rFonts w:ascii="Arial" w:hAnsi="Arial" w:cs="Arial"/>
          <w:lang w:eastAsia="x-none"/>
        </w:rPr>
        <w:t>PP</w:t>
      </w:r>
      <w:r w:rsidR="00633D89">
        <w:rPr>
          <w:rFonts w:ascii="Arial" w:hAnsi="Arial" w:cs="Arial"/>
          <w:lang w:eastAsia="x-none"/>
        </w:rPr>
        <w:t xml:space="preserve"> arrangement </w:t>
      </w:r>
      <w:r w:rsidR="000856E6">
        <w:rPr>
          <w:rFonts w:ascii="Arial" w:hAnsi="Arial" w:cs="Arial"/>
          <w:lang w:eastAsia="x-none"/>
        </w:rPr>
        <w:t>under</w:t>
      </w:r>
      <w:r w:rsidR="00633D89">
        <w:rPr>
          <w:rFonts w:ascii="Arial" w:hAnsi="Arial" w:cs="Arial"/>
          <w:lang w:eastAsia="x-none"/>
        </w:rPr>
        <w:t xml:space="preserve"> GASB 94, </w:t>
      </w:r>
      <w:r w:rsidR="00633D89" w:rsidRPr="008B3243">
        <w:rPr>
          <w:rFonts w:ascii="Arial" w:hAnsi="Arial" w:cs="Arial"/>
          <w:b/>
          <w:bCs/>
          <w:i/>
          <w:iCs/>
          <w:u w:val="single"/>
          <w:lang w:eastAsia="x-none"/>
        </w:rPr>
        <w:t xml:space="preserve">only when the state </w:t>
      </w:r>
      <w:r w:rsidR="009529B0">
        <w:rPr>
          <w:rFonts w:ascii="Arial" w:hAnsi="Arial" w:cs="Arial"/>
          <w:b/>
          <w:bCs/>
          <w:i/>
          <w:iCs/>
          <w:u w:val="single"/>
          <w:lang w:eastAsia="x-none"/>
        </w:rPr>
        <w:t>agency/university</w:t>
      </w:r>
      <w:r w:rsidR="00633D89" w:rsidRPr="008B3243">
        <w:rPr>
          <w:rFonts w:ascii="Arial" w:hAnsi="Arial" w:cs="Arial"/>
          <w:b/>
          <w:bCs/>
          <w:i/>
          <w:iCs/>
          <w:u w:val="single"/>
          <w:lang w:eastAsia="x-none"/>
        </w:rPr>
        <w:t xml:space="preserve"> is the “</w:t>
      </w:r>
      <w:r w:rsidR="004D166F">
        <w:rPr>
          <w:rFonts w:ascii="Arial" w:hAnsi="Arial" w:cs="Arial"/>
          <w:b/>
          <w:bCs/>
          <w:i/>
          <w:iCs/>
          <w:u w:val="single"/>
          <w:lang w:eastAsia="x-none"/>
        </w:rPr>
        <w:t>O</w:t>
      </w:r>
      <w:r w:rsidR="00633D89" w:rsidRPr="008B3243">
        <w:rPr>
          <w:rFonts w:ascii="Arial" w:hAnsi="Arial" w:cs="Arial"/>
          <w:b/>
          <w:bCs/>
          <w:i/>
          <w:iCs/>
          <w:u w:val="single"/>
          <w:lang w:eastAsia="x-none"/>
        </w:rPr>
        <w:t>perator”</w:t>
      </w:r>
      <w:r w:rsidR="004D166F">
        <w:rPr>
          <w:rFonts w:ascii="Arial" w:hAnsi="Arial" w:cs="Arial"/>
          <w:b/>
          <w:bCs/>
          <w:i/>
          <w:iCs/>
          <w:u w:val="single"/>
          <w:lang w:eastAsia="x-none"/>
        </w:rPr>
        <w:t xml:space="preserve"> (vs. </w:t>
      </w:r>
      <w:r w:rsidR="00922AF9">
        <w:rPr>
          <w:rFonts w:ascii="Arial" w:hAnsi="Arial" w:cs="Arial"/>
          <w:b/>
          <w:bCs/>
          <w:i/>
          <w:iCs/>
          <w:u w:val="single"/>
          <w:lang w:eastAsia="x-none"/>
        </w:rPr>
        <w:t>a</w:t>
      </w:r>
      <w:r w:rsidR="004D166F">
        <w:rPr>
          <w:rFonts w:ascii="Arial" w:hAnsi="Arial" w:cs="Arial"/>
          <w:b/>
          <w:bCs/>
          <w:i/>
          <w:iCs/>
          <w:u w:val="single"/>
          <w:lang w:eastAsia="x-none"/>
        </w:rPr>
        <w:t xml:space="preserve"> “Transferor”)</w:t>
      </w:r>
      <w:r w:rsidR="00633D89">
        <w:rPr>
          <w:rFonts w:ascii="Arial" w:hAnsi="Arial" w:cs="Arial"/>
          <w:lang w:eastAsia="x-none"/>
        </w:rPr>
        <w:t xml:space="preserve"> in the P</w:t>
      </w:r>
      <w:r w:rsidR="009D184B">
        <w:rPr>
          <w:rFonts w:ascii="Arial" w:hAnsi="Arial" w:cs="Arial"/>
          <w:lang w:eastAsia="x-none"/>
        </w:rPr>
        <w:t>PP</w:t>
      </w:r>
      <w:r w:rsidR="00633D89">
        <w:rPr>
          <w:rFonts w:ascii="Arial" w:hAnsi="Arial" w:cs="Arial"/>
          <w:lang w:eastAsia="x-none"/>
        </w:rPr>
        <w:t xml:space="preserve"> arrangement.</w:t>
      </w:r>
    </w:p>
    <w:p w14:paraId="64C38CF8" w14:textId="77777777" w:rsidR="005524E9" w:rsidRDefault="005524E9" w:rsidP="001B29A8">
      <w:pPr>
        <w:rPr>
          <w:rFonts w:ascii="Arial" w:hAnsi="Arial" w:cs="Arial"/>
          <w:lang w:eastAsia="x-none"/>
        </w:rPr>
      </w:pPr>
    </w:p>
    <w:p w14:paraId="73DE0136" w14:textId="7931732C" w:rsidR="000E1FA9" w:rsidRDefault="005524E9" w:rsidP="001B29A8">
      <w:pPr>
        <w:rPr>
          <w:rFonts w:ascii="Arial" w:hAnsi="Arial" w:cs="Arial"/>
          <w:lang w:eastAsia="x-none"/>
        </w:rPr>
      </w:pPr>
      <w:r>
        <w:rPr>
          <w:rFonts w:ascii="Arial" w:hAnsi="Arial" w:cs="Arial"/>
          <w:lang w:eastAsia="x-none"/>
        </w:rPr>
        <w:t xml:space="preserve">If applicable, provide </w:t>
      </w:r>
      <w:r w:rsidR="00A43706">
        <w:rPr>
          <w:rFonts w:ascii="Arial" w:hAnsi="Arial" w:cs="Arial"/>
          <w:lang w:eastAsia="x-none"/>
        </w:rPr>
        <w:t xml:space="preserve">the future principal and interest payments </w:t>
      </w:r>
      <w:r w:rsidR="00DE69C2">
        <w:rPr>
          <w:rFonts w:ascii="Arial" w:hAnsi="Arial" w:cs="Arial"/>
          <w:lang w:eastAsia="x-none"/>
        </w:rPr>
        <w:t>required under the arrangement</w:t>
      </w:r>
      <w:r w:rsidR="009A1B81">
        <w:rPr>
          <w:rFonts w:ascii="Arial" w:hAnsi="Arial" w:cs="Arial"/>
          <w:lang w:eastAsia="x-none"/>
        </w:rPr>
        <w:t>.  If future P</w:t>
      </w:r>
      <w:r w:rsidR="009D184B">
        <w:rPr>
          <w:rFonts w:ascii="Arial" w:hAnsi="Arial" w:cs="Arial"/>
          <w:lang w:eastAsia="x-none"/>
        </w:rPr>
        <w:t>PP</w:t>
      </w:r>
      <w:r w:rsidR="009A1B81">
        <w:rPr>
          <w:rFonts w:ascii="Arial" w:hAnsi="Arial" w:cs="Arial"/>
          <w:lang w:eastAsia="x-none"/>
        </w:rPr>
        <w:t xml:space="preserve"> payments </w:t>
      </w:r>
      <w:r w:rsidR="00475670">
        <w:rPr>
          <w:rFonts w:ascii="Arial" w:hAnsi="Arial" w:cs="Arial"/>
          <w:lang w:eastAsia="x-none"/>
        </w:rPr>
        <w:t>extend</w:t>
      </w:r>
      <w:r w:rsidR="009A1B81">
        <w:rPr>
          <w:rFonts w:ascii="Arial" w:hAnsi="Arial" w:cs="Arial"/>
          <w:lang w:eastAsia="x-none"/>
        </w:rPr>
        <w:t xml:space="preserve"> beyond 207</w:t>
      </w:r>
      <w:r w:rsidR="00714FE1">
        <w:rPr>
          <w:rFonts w:ascii="Arial" w:hAnsi="Arial" w:cs="Arial"/>
          <w:lang w:eastAsia="x-none"/>
        </w:rPr>
        <w:t>6</w:t>
      </w:r>
      <w:r w:rsidR="009A1B81">
        <w:rPr>
          <w:rFonts w:ascii="Arial" w:hAnsi="Arial" w:cs="Arial"/>
          <w:lang w:eastAsia="x-none"/>
        </w:rPr>
        <w:t>, include a separate schedule breaking out the P</w:t>
      </w:r>
      <w:r w:rsidR="009D184B">
        <w:rPr>
          <w:rFonts w:ascii="Arial" w:hAnsi="Arial" w:cs="Arial"/>
          <w:lang w:eastAsia="x-none"/>
        </w:rPr>
        <w:t>PP</w:t>
      </w:r>
      <w:r w:rsidR="009A1B81">
        <w:rPr>
          <w:rFonts w:ascii="Arial" w:hAnsi="Arial" w:cs="Arial"/>
          <w:lang w:eastAsia="x-none"/>
        </w:rPr>
        <w:t xml:space="preserve"> payments in 5-year increments until the end of the arrangement.</w:t>
      </w:r>
      <w:r w:rsidR="00BE5922">
        <w:rPr>
          <w:rFonts w:ascii="Arial" w:hAnsi="Arial" w:cs="Arial"/>
          <w:lang w:eastAsia="x-none"/>
        </w:rPr>
        <w:t xml:space="preserve">  </w:t>
      </w:r>
    </w:p>
    <w:tbl>
      <w:tblPr>
        <w:tblW w:w="16067" w:type="dxa"/>
        <w:tblLook w:val="04A0" w:firstRow="1" w:lastRow="0" w:firstColumn="1" w:lastColumn="0" w:noHBand="0" w:noVBand="1"/>
      </w:tblPr>
      <w:tblGrid>
        <w:gridCol w:w="14049"/>
        <w:gridCol w:w="222"/>
        <w:gridCol w:w="1796"/>
      </w:tblGrid>
      <w:tr w:rsidR="001B29A8" w:rsidRPr="007C14CC" w14:paraId="78B41F47" w14:textId="77777777" w:rsidTr="00F26F42">
        <w:trPr>
          <w:trHeight w:val="312"/>
        </w:trPr>
        <w:tc>
          <w:tcPr>
            <w:tcW w:w="14049" w:type="dxa"/>
            <w:tcBorders>
              <w:top w:val="nil"/>
              <w:left w:val="nil"/>
              <w:bottom w:val="nil"/>
              <w:right w:val="nil"/>
            </w:tcBorders>
            <w:noWrap/>
            <w:vAlign w:val="bottom"/>
            <w:hideMark/>
          </w:tcPr>
          <w:p w14:paraId="70B504C6" w14:textId="77777777" w:rsidR="001B29A8" w:rsidRDefault="001B29A8" w:rsidP="00F26F42">
            <w:pPr>
              <w:jc w:val="both"/>
              <w:rPr>
                <w:rFonts w:ascii="Arial" w:hAnsi="Arial" w:cs="Arial"/>
                <w:lang w:eastAsia="x-none"/>
              </w:rPr>
            </w:pPr>
          </w:p>
          <w:p w14:paraId="6B850BE6" w14:textId="77777777" w:rsidR="001B29A8" w:rsidRPr="0025631A" w:rsidRDefault="001B29A8" w:rsidP="00F26F42">
            <w:pPr>
              <w:jc w:val="both"/>
              <w:rPr>
                <w:rFonts w:ascii="Arial" w:hAnsi="Arial" w:cs="Arial"/>
                <w:lang w:eastAsia="x-none"/>
              </w:rPr>
            </w:pPr>
          </w:p>
        </w:tc>
        <w:tc>
          <w:tcPr>
            <w:tcW w:w="222" w:type="dxa"/>
            <w:tcBorders>
              <w:top w:val="nil"/>
              <w:left w:val="nil"/>
              <w:bottom w:val="nil"/>
              <w:right w:val="nil"/>
            </w:tcBorders>
            <w:noWrap/>
            <w:vAlign w:val="bottom"/>
            <w:hideMark/>
          </w:tcPr>
          <w:p w14:paraId="6A266D04" w14:textId="77777777" w:rsidR="001B29A8" w:rsidRPr="007C14CC" w:rsidRDefault="001B29A8" w:rsidP="00F26F42">
            <w:pPr>
              <w:jc w:val="both"/>
              <w:rPr>
                <w:rFonts w:ascii="Arial" w:hAnsi="Arial" w:cs="Arial"/>
                <w:lang w:eastAsia="x-none"/>
              </w:rPr>
            </w:pPr>
          </w:p>
        </w:tc>
        <w:tc>
          <w:tcPr>
            <w:tcW w:w="1796" w:type="dxa"/>
            <w:tcBorders>
              <w:top w:val="nil"/>
              <w:left w:val="nil"/>
              <w:bottom w:val="nil"/>
              <w:right w:val="nil"/>
            </w:tcBorders>
            <w:noWrap/>
            <w:vAlign w:val="bottom"/>
            <w:hideMark/>
          </w:tcPr>
          <w:p w14:paraId="5F311309" w14:textId="77777777" w:rsidR="001B29A8" w:rsidRPr="007C14CC" w:rsidRDefault="001B29A8" w:rsidP="00F26F42">
            <w:pPr>
              <w:jc w:val="both"/>
              <w:rPr>
                <w:rFonts w:ascii="Arial" w:hAnsi="Arial" w:cs="Arial"/>
                <w:lang w:eastAsia="x-none"/>
              </w:rPr>
            </w:pPr>
          </w:p>
        </w:tc>
      </w:tr>
    </w:tbl>
    <w:p w14:paraId="5CE092D6" w14:textId="27361C91" w:rsidR="00D7729E" w:rsidRPr="00A34FEB" w:rsidRDefault="004E6C72" w:rsidP="0051446B">
      <w:pPr>
        <w:jc w:val="both"/>
        <w:rPr>
          <w:rFonts w:ascii="Arial" w:hAnsi="Arial" w:cs="Arial"/>
          <w:b/>
          <w:bCs/>
          <w:sz w:val="22"/>
          <w:szCs w:val="22"/>
          <w:u w:val="single"/>
        </w:rPr>
      </w:pPr>
      <w:r w:rsidRPr="00A34FEB">
        <w:rPr>
          <w:rFonts w:ascii="Arial" w:hAnsi="Arial" w:cs="Arial"/>
          <w:b/>
          <w:bCs/>
          <w:sz w:val="22"/>
          <w:szCs w:val="22"/>
          <w:u w:val="single"/>
        </w:rPr>
        <w:t xml:space="preserve">SUMMARY TABLE FOR LEASES </w:t>
      </w:r>
      <w:r w:rsidR="00A34FEB" w:rsidRPr="00A34FEB">
        <w:rPr>
          <w:rFonts w:ascii="Arial" w:hAnsi="Arial" w:cs="Arial"/>
          <w:b/>
          <w:bCs/>
          <w:sz w:val="22"/>
          <w:szCs w:val="22"/>
          <w:u w:val="single"/>
        </w:rPr>
        <w:t>AND SBITAS – (30</w:t>
      </w:r>
      <w:r w:rsidR="00F110AA">
        <w:rPr>
          <w:rFonts w:ascii="Arial" w:hAnsi="Arial" w:cs="Arial"/>
          <w:b/>
          <w:bCs/>
          <w:sz w:val="22"/>
          <w:szCs w:val="22"/>
          <w:u w:val="single"/>
        </w:rPr>
        <w:t>4</w:t>
      </w:r>
      <w:r w:rsidR="00A34FEB" w:rsidRPr="00A34FEB">
        <w:rPr>
          <w:rFonts w:ascii="Arial" w:hAnsi="Arial" w:cs="Arial"/>
          <w:b/>
          <w:bCs/>
          <w:sz w:val="22"/>
          <w:szCs w:val="22"/>
          <w:u w:val="single"/>
        </w:rPr>
        <w:t>)</w:t>
      </w:r>
    </w:p>
    <w:p w14:paraId="2F9F12D0" w14:textId="77777777" w:rsidR="00BD154D" w:rsidRPr="00A34FEB" w:rsidRDefault="00BD154D" w:rsidP="0051446B">
      <w:pPr>
        <w:jc w:val="both"/>
        <w:rPr>
          <w:rFonts w:ascii="Arial" w:hAnsi="Arial" w:cs="Arial"/>
          <w:b/>
          <w:bCs/>
          <w:sz w:val="22"/>
          <w:szCs w:val="22"/>
          <w:u w:val="single"/>
        </w:rPr>
      </w:pPr>
    </w:p>
    <w:p w14:paraId="43D681CC" w14:textId="50BE1A00" w:rsidR="00BD154D" w:rsidRDefault="00596135" w:rsidP="0051446B">
      <w:pPr>
        <w:jc w:val="both"/>
        <w:rPr>
          <w:rFonts w:ascii="Arial" w:hAnsi="Arial" w:cs="Arial"/>
        </w:rPr>
      </w:pPr>
      <w:r>
        <w:rPr>
          <w:rFonts w:ascii="Arial" w:hAnsi="Arial" w:cs="Arial"/>
        </w:rPr>
        <w:t xml:space="preserve">Please complete the table </w:t>
      </w:r>
      <w:r w:rsidR="00E208FF">
        <w:rPr>
          <w:rFonts w:ascii="Arial" w:hAnsi="Arial" w:cs="Arial"/>
        </w:rPr>
        <w:t>on WS 30</w:t>
      </w:r>
      <w:r w:rsidR="004F58AB">
        <w:rPr>
          <w:rFonts w:ascii="Arial" w:hAnsi="Arial" w:cs="Arial"/>
        </w:rPr>
        <w:t>4</w:t>
      </w:r>
      <w:r w:rsidR="00E208FF">
        <w:rPr>
          <w:rFonts w:ascii="Arial" w:hAnsi="Arial" w:cs="Arial"/>
        </w:rPr>
        <w:t xml:space="preserve"> for Leases and </w:t>
      </w:r>
      <w:r w:rsidR="00386141">
        <w:rPr>
          <w:rFonts w:ascii="Arial" w:hAnsi="Arial" w:cs="Arial"/>
        </w:rPr>
        <w:t>SBIT</w:t>
      </w:r>
      <w:r w:rsidR="003A20CD">
        <w:rPr>
          <w:rFonts w:ascii="Arial" w:hAnsi="Arial" w:cs="Arial"/>
        </w:rPr>
        <w:t>A</w:t>
      </w:r>
      <w:r w:rsidR="00386141">
        <w:rPr>
          <w:rFonts w:ascii="Arial" w:hAnsi="Arial" w:cs="Arial"/>
        </w:rPr>
        <w:t>s.  Th</w:t>
      </w:r>
      <w:r w:rsidR="0027545B">
        <w:rPr>
          <w:rFonts w:ascii="Arial" w:hAnsi="Arial" w:cs="Arial"/>
        </w:rPr>
        <w:t xml:space="preserve">e </w:t>
      </w:r>
      <w:r w:rsidR="00560A96">
        <w:rPr>
          <w:rFonts w:ascii="Arial" w:hAnsi="Arial" w:cs="Arial"/>
        </w:rPr>
        <w:t xml:space="preserve">total of the </w:t>
      </w:r>
      <w:r w:rsidR="0027545B">
        <w:rPr>
          <w:rFonts w:ascii="Arial" w:hAnsi="Arial" w:cs="Arial"/>
        </w:rPr>
        <w:t>amounts reported on th</w:t>
      </w:r>
      <w:r w:rsidR="005D1BBA">
        <w:rPr>
          <w:rFonts w:ascii="Arial" w:hAnsi="Arial" w:cs="Arial"/>
        </w:rPr>
        <w:t>e</w:t>
      </w:r>
      <w:r w:rsidR="0027545B">
        <w:rPr>
          <w:rFonts w:ascii="Arial" w:hAnsi="Arial" w:cs="Arial"/>
        </w:rPr>
        <w:t xml:space="preserve"> </w:t>
      </w:r>
      <w:r w:rsidR="00AE2E8E">
        <w:rPr>
          <w:rFonts w:ascii="Arial" w:hAnsi="Arial" w:cs="Arial"/>
        </w:rPr>
        <w:t xml:space="preserve">Lessee section of the table for Leases and SBITAs </w:t>
      </w:r>
      <w:r w:rsidR="0027545B">
        <w:rPr>
          <w:rFonts w:ascii="Arial" w:hAnsi="Arial" w:cs="Arial"/>
        </w:rPr>
        <w:t>will agree to the</w:t>
      </w:r>
      <w:r w:rsidR="00F23B30">
        <w:rPr>
          <w:rFonts w:ascii="Arial" w:hAnsi="Arial" w:cs="Arial"/>
        </w:rPr>
        <w:t xml:space="preserve"> Lease Payable and Subs</w:t>
      </w:r>
      <w:r w:rsidR="00832D65">
        <w:rPr>
          <w:rFonts w:ascii="Arial" w:hAnsi="Arial" w:cs="Arial"/>
        </w:rPr>
        <w:t xml:space="preserve">cription Payable amounts as reported on your </w:t>
      </w:r>
      <w:r w:rsidR="00B576EA">
        <w:rPr>
          <w:rFonts w:ascii="Arial" w:hAnsi="Arial" w:cs="Arial"/>
        </w:rPr>
        <w:t>WS</w:t>
      </w:r>
      <w:r w:rsidR="00E02E5E">
        <w:rPr>
          <w:rFonts w:ascii="Arial" w:hAnsi="Arial" w:cs="Arial"/>
        </w:rPr>
        <w:t xml:space="preserve"> 305/</w:t>
      </w:r>
      <w:r w:rsidR="005B2A13">
        <w:rPr>
          <w:rFonts w:ascii="Arial" w:hAnsi="Arial" w:cs="Arial"/>
        </w:rPr>
        <w:t>310</w:t>
      </w:r>
      <w:r w:rsidR="001677B6">
        <w:rPr>
          <w:rFonts w:ascii="Arial" w:hAnsi="Arial" w:cs="Arial"/>
        </w:rPr>
        <w:t>.</w:t>
      </w:r>
    </w:p>
    <w:p w14:paraId="4BF4E29C" w14:textId="77777777" w:rsidR="003007F7" w:rsidRDefault="003007F7" w:rsidP="0051446B">
      <w:pPr>
        <w:jc w:val="both"/>
        <w:rPr>
          <w:rFonts w:ascii="Arial" w:hAnsi="Arial" w:cs="Arial"/>
        </w:rPr>
      </w:pPr>
    </w:p>
    <w:p w14:paraId="465D80CE" w14:textId="77777777" w:rsidR="006A0A75" w:rsidRDefault="003007F7" w:rsidP="00400C6F">
      <w:pPr>
        <w:jc w:val="both"/>
        <w:rPr>
          <w:rFonts w:ascii="Arial" w:hAnsi="Arial" w:cs="Arial"/>
        </w:rPr>
      </w:pPr>
      <w:r>
        <w:rPr>
          <w:rFonts w:ascii="Arial" w:hAnsi="Arial" w:cs="Arial"/>
        </w:rPr>
        <w:t>For leases</w:t>
      </w:r>
      <w:r w:rsidR="001801A0">
        <w:rPr>
          <w:rFonts w:ascii="Arial" w:hAnsi="Arial" w:cs="Arial"/>
        </w:rPr>
        <w:t>/SBIT</w:t>
      </w:r>
      <w:r w:rsidR="000141E1">
        <w:rPr>
          <w:rFonts w:ascii="Arial" w:hAnsi="Arial" w:cs="Arial"/>
        </w:rPr>
        <w:t>As</w:t>
      </w:r>
      <w:r>
        <w:rPr>
          <w:rFonts w:ascii="Arial" w:hAnsi="Arial" w:cs="Arial"/>
        </w:rPr>
        <w:t xml:space="preserve"> wherein there are multiple </w:t>
      </w:r>
      <w:r w:rsidR="007D2FDB">
        <w:rPr>
          <w:rFonts w:ascii="Arial" w:hAnsi="Arial" w:cs="Arial"/>
        </w:rPr>
        <w:t>contracts</w:t>
      </w:r>
      <w:r w:rsidR="000141E1">
        <w:rPr>
          <w:rFonts w:ascii="Arial" w:hAnsi="Arial" w:cs="Arial"/>
        </w:rPr>
        <w:t xml:space="preserve"> </w:t>
      </w:r>
      <w:r w:rsidR="00400C6F">
        <w:rPr>
          <w:rFonts w:ascii="Arial" w:hAnsi="Arial" w:cs="Arial"/>
        </w:rPr>
        <w:t xml:space="preserve">for a classification, please list the </w:t>
      </w:r>
      <w:r w:rsidR="00014935">
        <w:rPr>
          <w:rFonts w:ascii="Arial" w:hAnsi="Arial" w:cs="Arial"/>
        </w:rPr>
        <w:t>lowest lease term</w:t>
      </w:r>
      <w:r w:rsidR="00046059">
        <w:rPr>
          <w:rFonts w:ascii="Arial" w:hAnsi="Arial" w:cs="Arial"/>
        </w:rPr>
        <w:t xml:space="preserve"> in </w:t>
      </w:r>
      <w:r w:rsidR="00475C65">
        <w:rPr>
          <w:rFonts w:ascii="Arial" w:hAnsi="Arial" w:cs="Arial"/>
        </w:rPr>
        <w:t>years and</w:t>
      </w:r>
      <w:r w:rsidR="00B5210D">
        <w:rPr>
          <w:rFonts w:ascii="Arial" w:hAnsi="Arial" w:cs="Arial"/>
        </w:rPr>
        <w:t xml:space="preserve"> the highest lease term</w:t>
      </w:r>
      <w:r w:rsidR="00927D77">
        <w:rPr>
          <w:rFonts w:ascii="Arial" w:hAnsi="Arial" w:cs="Arial"/>
        </w:rPr>
        <w:t xml:space="preserve"> in years</w:t>
      </w:r>
      <w:r w:rsidR="00B5210D">
        <w:rPr>
          <w:rFonts w:ascii="Arial" w:hAnsi="Arial" w:cs="Arial"/>
        </w:rPr>
        <w:t xml:space="preserve"> </w:t>
      </w:r>
      <w:r w:rsidR="007D286B">
        <w:rPr>
          <w:rFonts w:ascii="Arial" w:hAnsi="Arial" w:cs="Arial"/>
        </w:rPr>
        <w:t>along wit</w:t>
      </w:r>
      <w:r w:rsidR="001D7AF1">
        <w:rPr>
          <w:rFonts w:ascii="Arial" w:hAnsi="Arial" w:cs="Arial"/>
        </w:rPr>
        <w:t xml:space="preserve">h the </w:t>
      </w:r>
      <w:r w:rsidR="007D286B">
        <w:rPr>
          <w:rFonts w:ascii="Arial" w:hAnsi="Arial" w:cs="Arial"/>
        </w:rPr>
        <w:t>lowest interest rate to the highest interest rate.</w:t>
      </w:r>
      <w:r w:rsidR="00400C6F">
        <w:rPr>
          <w:rFonts w:ascii="Arial" w:hAnsi="Arial" w:cs="Arial"/>
        </w:rPr>
        <w:t xml:space="preserve"> </w:t>
      </w:r>
      <w:r w:rsidR="002E0EE8">
        <w:rPr>
          <w:rFonts w:ascii="Arial" w:hAnsi="Arial" w:cs="Arial"/>
        </w:rPr>
        <w:t xml:space="preserve"> </w:t>
      </w:r>
      <w:r w:rsidR="002E0EE8">
        <w:rPr>
          <w:rFonts w:ascii="Arial" w:hAnsi="Arial" w:cs="Arial"/>
        </w:rPr>
        <w:lastRenderedPageBreak/>
        <w:t>For leases</w:t>
      </w:r>
      <w:r w:rsidR="003E53B4">
        <w:rPr>
          <w:rFonts w:ascii="Arial" w:hAnsi="Arial" w:cs="Arial"/>
        </w:rPr>
        <w:t>/SBITAs</w:t>
      </w:r>
      <w:r w:rsidR="002E0EE8">
        <w:rPr>
          <w:rFonts w:ascii="Arial" w:hAnsi="Arial" w:cs="Arial"/>
        </w:rPr>
        <w:t xml:space="preserve"> wherein there is one </w:t>
      </w:r>
      <w:r w:rsidR="003E53B4">
        <w:rPr>
          <w:rFonts w:ascii="Arial" w:hAnsi="Arial" w:cs="Arial"/>
        </w:rPr>
        <w:t>contract</w:t>
      </w:r>
      <w:r w:rsidR="002E0EE8">
        <w:rPr>
          <w:rFonts w:ascii="Arial" w:hAnsi="Arial" w:cs="Arial"/>
        </w:rPr>
        <w:t xml:space="preserve"> for a classification</w:t>
      </w:r>
      <w:r w:rsidR="004405A8">
        <w:rPr>
          <w:rFonts w:ascii="Arial" w:hAnsi="Arial" w:cs="Arial"/>
        </w:rPr>
        <w:t>,</w:t>
      </w:r>
      <w:r w:rsidR="002E0EE8">
        <w:rPr>
          <w:rFonts w:ascii="Arial" w:hAnsi="Arial" w:cs="Arial"/>
        </w:rPr>
        <w:t xml:space="preserve"> please </w:t>
      </w:r>
      <w:r w:rsidR="004405A8">
        <w:rPr>
          <w:rFonts w:ascii="Arial" w:hAnsi="Arial" w:cs="Arial"/>
        </w:rPr>
        <w:t xml:space="preserve">list </w:t>
      </w:r>
      <w:r w:rsidR="002E0EE8">
        <w:rPr>
          <w:rFonts w:ascii="Arial" w:hAnsi="Arial" w:cs="Arial"/>
        </w:rPr>
        <w:t>the</w:t>
      </w:r>
      <w:r w:rsidR="00AE277D">
        <w:rPr>
          <w:rFonts w:ascii="Arial" w:hAnsi="Arial" w:cs="Arial"/>
        </w:rPr>
        <w:t xml:space="preserve"> lease term information</w:t>
      </w:r>
      <w:r w:rsidR="001415D8">
        <w:rPr>
          <w:rFonts w:ascii="Arial" w:hAnsi="Arial" w:cs="Arial"/>
        </w:rPr>
        <w:t xml:space="preserve"> under the Lease Terms in Years </w:t>
      </w:r>
      <w:r w:rsidR="00F46262">
        <w:rPr>
          <w:rFonts w:ascii="Arial" w:hAnsi="Arial" w:cs="Arial"/>
        </w:rPr>
        <w:t>Highest End of Term column and the</w:t>
      </w:r>
      <w:r w:rsidR="002E0EE8">
        <w:rPr>
          <w:rFonts w:ascii="Arial" w:hAnsi="Arial" w:cs="Arial"/>
        </w:rPr>
        <w:t xml:space="preserve"> </w:t>
      </w:r>
      <w:r w:rsidR="00995790">
        <w:rPr>
          <w:rFonts w:ascii="Arial" w:hAnsi="Arial" w:cs="Arial"/>
        </w:rPr>
        <w:t xml:space="preserve">interest rate information under the </w:t>
      </w:r>
      <w:r w:rsidR="005C6D66">
        <w:rPr>
          <w:rFonts w:ascii="Arial" w:hAnsi="Arial" w:cs="Arial"/>
        </w:rPr>
        <w:t>Interest Rate Highest column.</w:t>
      </w:r>
      <w:r w:rsidR="0038298C">
        <w:rPr>
          <w:rFonts w:ascii="Arial" w:hAnsi="Arial" w:cs="Arial"/>
        </w:rPr>
        <w:t xml:space="preserve"> </w:t>
      </w:r>
    </w:p>
    <w:p w14:paraId="3EF16EA2" w14:textId="77777777" w:rsidR="006A0A75" w:rsidRDefault="006A0A75" w:rsidP="00400C6F">
      <w:pPr>
        <w:jc w:val="both"/>
        <w:rPr>
          <w:rFonts w:ascii="Arial" w:hAnsi="Arial" w:cs="Arial"/>
        </w:rPr>
      </w:pPr>
    </w:p>
    <w:p w14:paraId="376336E3" w14:textId="0C233D40" w:rsidR="004E46A3" w:rsidRDefault="006A0A75" w:rsidP="00400C6F">
      <w:pPr>
        <w:jc w:val="both"/>
        <w:rPr>
          <w:rFonts w:ascii="Arial" w:hAnsi="Arial" w:cs="Arial"/>
        </w:rPr>
      </w:pPr>
      <w:r w:rsidRPr="006A0A75">
        <w:rPr>
          <w:rFonts w:ascii="Arial" w:hAnsi="Arial" w:cs="Arial"/>
        </w:rPr>
        <w:t>Lease terms that are partial years are to be written as a decimal for partial years. (e.g. 2 years 6 months would be recorded. as 2.5).  All data must be numeric.</w:t>
      </w:r>
    </w:p>
    <w:p w14:paraId="5AD89C02" w14:textId="77777777" w:rsidR="00070128" w:rsidRDefault="00070128" w:rsidP="00400C6F">
      <w:pPr>
        <w:jc w:val="both"/>
        <w:rPr>
          <w:rFonts w:ascii="Arial" w:hAnsi="Arial" w:cs="Arial"/>
        </w:rPr>
      </w:pPr>
    </w:p>
    <w:p w14:paraId="30B3A72D" w14:textId="303972A5" w:rsidR="008B6836" w:rsidRPr="00DC71B3" w:rsidRDefault="008B6836" w:rsidP="00400C6F">
      <w:pPr>
        <w:jc w:val="both"/>
        <w:rPr>
          <w:rFonts w:ascii="Arial" w:hAnsi="Arial" w:cs="Arial"/>
        </w:rPr>
      </w:pPr>
      <w:r>
        <w:rPr>
          <w:rFonts w:ascii="Arial" w:hAnsi="Arial" w:cs="Arial"/>
        </w:rPr>
        <w:t>The</w:t>
      </w:r>
      <w:r w:rsidR="00C7595F">
        <w:rPr>
          <w:rFonts w:ascii="Arial" w:hAnsi="Arial" w:cs="Arial"/>
        </w:rPr>
        <w:t xml:space="preserve"> Leases </w:t>
      </w:r>
      <w:r>
        <w:rPr>
          <w:rFonts w:ascii="Arial" w:hAnsi="Arial" w:cs="Arial"/>
        </w:rPr>
        <w:t xml:space="preserve">Lessor </w:t>
      </w:r>
      <w:r w:rsidR="00C7595F">
        <w:rPr>
          <w:rFonts w:ascii="Arial" w:hAnsi="Arial" w:cs="Arial"/>
        </w:rPr>
        <w:t>section of the</w:t>
      </w:r>
      <w:r w:rsidR="00246C14">
        <w:rPr>
          <w:rFonts w:ascii="Arial" w:hAnsi="Arial" w:cs="Arial"/>
        </w:rPr>
        <w:t xml:space="preserve"> table will agree </w:t>
      </w:r>
      <w:r w:rsidR="00340942">
        <w:rPr>
          <w:rFonts w:ascii="Arial" w:hAnsi="Arial" w:cs="Arial"/>
        </w:rPr>
        <w:t xml:space="preserve">to the Lease </w:t>
      </w:r>
      <w:r w:rsidR="002E4F79">
        <w:rPr>
          <w:rFonts w:ascii="Arial" w:hAnsi="Arial" w:cs="Arial"/>
        </w:rPr>
        <w:t>Receivable as reported in your Financials</w:t>
      </w:r>
      <w:r w:rsidR="00AF4886">
        <w:rPr>
          <w:rFonts w:ascii="Arial" w:hAnsi="Arial" w:cs="Arial"/>
        </w:rPr>
        <w:t>.</w:t>
      </w:r>
      <w:r w:rsidR="00C7595F">
        <w:rPr>
          <w:rFonts w:ascii="Arial" w:hAnsi="Arial" w:cs="Arial"/>
        </w:rPr>
        <w:t xml:space="preserve"> </w:t>
      </w:r>
    </w:p>
    <w:p w14:paraId="74BCDAAE" w14:textId="195C8CE8" w:rsidR="004E46A3" w:rsidRDefault="004E46A3">
      <w:pPr>
        <w:rPr>
          <w:rFonts w:ascii="Arial" w:hAnsi="Arial"/>
        </w:rPr>
      </w:pPr>
    </w:p>
    <w:p w14:paraId="0C1E32D6" w14:textId="77777777" w:rsidR="004E46A3" w:rsidRPr="00BD4314" w:rsidRDefault="004E46A3">
      <w:pPr>
        <w:pStyle w:val="Heading3"/>
        <w:spacing w:line="240" w:lineRule="auto"/>
        <w:jc w:val="left"/>
        <w:rPr>
          <w:rFonts w:ascii="Arial" w:hAnsi="Arial"/>
          <w:u w:val="single"/>
          <w:lang w:val="en-US"/>
        </w:rPr>
      </w:pPr>
      <w:r w:rsidRPr="00E90C1D">
        <w:rPr>
          <w:rFonts w:ascii="Arial" w:hAnsi="Arial"/>
          <w:u w:val="single"/>
        </w:rPr>
        <w:t>Changes in Long –Term Liabilities and Short-Term Debt (</w:t>
      </w:r>
      <w:r w:rsidRPr="00E90C1D">
        <w:rPr>
          <w:rFonts w:ascii="Arial" w:hAnsi="Arial"/>
          <w:smallCaps w:val="0"/>
          <w:u w:val="single"/>
        </w:rPr>
        <w:t>305</w:t>
      </w:r>
      <w:r w:rsidR="00015B34" w:rsidRPr="00E90C1D">
        <w:rPr>
          <w:rFonts w:ascii="Arial" w:hAnsi="Arial"/>
          <w:smallCaps w:val="0"/>
          <w:u w:val="single"/>
          <w:lang w:val="en-US"/>
        </w:rPr>
        <w:t xml:space="preserve"> and </w:t>
      </w:r>
      <w:r w:rsidRPr="00E90C1D">
        <w:rPr>
          <w:rFonts w:ascii="Arial" w:hAnsi="Arial"/>
          <w:smallCaps w:val="0"/>
          <w:u w:val="single"/>
        </w:rPr>
        <w:t>310</w:t>
      </w:r>
      <w:r w:rsidRPr="00E90C1D">
        <w:rPr>
          <w:rFonts w:ascii="Arial" w:hAnsi="Arial"/>
          <w:u w:val="single"/>
        </w:rPr>
        <w:t>)</w:t>
      </w:r>
      <w:r w:rsidR="00BD4314" w:rsidRPr="00BD4314">
        <w:rPr>
          <w:rFonts w:ascii="Arial" w:hAnsi="Arial"/>
          <w:color w:val="FF0000"/>
          <w:u w:val="single"/>
          <w:lang w:val="en-US"/>
        </w:rPr>
        <w:t xml:space="preserve"> </w:t>
      </w:r>
    </w:p>
    <w:p w14:paraId="7D90E553" w14:textId="77777777" w:rsidR="00CF4E54" w:rsidRDefault="00CF4E54" w:rsidP="00CF4E54">
      <w:pPr>
        <w:rPr>
          <w:lang w:val="x-none" w:eastAsia="x-none"/>
        </w:rPr>
      </w:pPr>
    </w:p>
    <w:p w14:paraId="3ABA9A16" w14:textId="24C2D0FB" w:rsidR="00CF4E54" w:rsidRPr="00CF4E54" w:rsidRDefault="00CF4E54" w:rsidP="00CF4E54">
      <w:pPr>
        <w:rPr>
          <w:rFonts w:ascii="Arial" w:hAnsi="Arial"/>
        </w:rPr>
      </w:pPr>
      <w:r w:rsidRPr="00E90C1D">
        <w:rPr>
          <w:rFonts w:ascii="Arial" w:hAnsi="Arial"/>
        </w:rPr>
        <w:t xml:space="preserve">For note disclosure purposes, GASB </w:t>
      </w:r>
      <w:r w:rsidR="00721307">
        <w:rPr>
          <w:rFonts w:ascii="Arial" w:hAnsi="Arial"/>
        </w:rPr>
        <w:t xml:space="preserve">Statement </w:t>
      </w:r>
      <w:r w:rsidRPr="00E90C1D">
        <w:rPr>
          <w:rFonts w:ascii="Arial" w:hAnsi="Arial"/>
        </w:rPr>
        <w:t xml:space="preserve">88 defines debt as a liability that arises from a contractual obligation to pay cash (or other assets that may be used in lieu of cash) in one or more payments to settle an amount that is fixed at the date the contractual obligation is established. Exceptions include </w:t>
      </w:r>
      <w:r w:rsidR="53C8F42A" w:rsidRPr="2B835493">
        <w:rPr>
          <w:rFonts w:ascii="Arial" w:hAnsi="Arial"/>
        </w:rPr>
        <w:t xml:space="preserve">short-term </w:t>
      </w:r>
      <w:r w:rsidRPr="00E90C1D">
        <w:rPr>
          <w:rFonts w:ascii="Arial" w:hAnsi="Arial"/>
        </w:rPr>
        <w:t xml:space="preserve">leases and </w:t>
      </w:r>
      <w:r w:rsidR="38EBCB9F" w:rsidRPr="2B835493">
        <w:rPr>
          <w:rFonts w:ascii="Arial" w:hAnsi="Arial"/>
        </w:rPr>
        <w:t xml:space="preserve">subscriptions </w:t>
      </w:r>
      <w:r w:rsidRPr="2B835493">
        <w:rPr>
          <w:rFonts w:ascii="Arial" w:hAnsi="Arial"/>
        </w:rPr>
        <w:t xml:space="preserve">and </w:t>
      </w:r>
      <w:r w:rsidRPr="00E90C1D">
        <w:rPr>
          <w:rFonts w:ascii="Arial" w:hAnsi="Arial"/>
        </w:rPr>
        <w:t xml:space="preserve">accounts payable. </w:t>
      </w:r>
      <w:r w:rsidR="006D0E92" w:rsidRPr="00E90C1D">
        <w:rPr>
          <w:rFonts w:ascii="Arial" w:hAnsi="Arial"/>
        </w:rPr>
        <w:t xml:space="preserve">Note disclosures for direct borrowings and direct placements of debt should be separated from other debt. </w:t>
      </w:r>
      <w:r w:rsidR="0030250F" w:rsidRPr="00E90C1D">
        <w:rPr>
          <w:rFonts w:ascii="Arial" w:hAnsi="Arial"/>
        </w:rPr>
        <w:t xml:space="preserve">See the </w:t>
      </w:r>
      <w:hyperlink r:id="rId20">
        <w:r w:rsidR="0030250F" w:rsidRPr="2B835493">
          <w:rPr>
            <w:rStyle w:val="Hyperlink"/>
            <w:rFonts w:ascii="Arial" w:hAnsi="Arial"/>
          </w:rPr>
          <w:t>GASB 88 Financial Reporting Update</w:t>
        </w:r>
      </w:hyperlink>
      <w:r w:rsidR="0030250F" w:rsidRPr="2B835493">
        <w:rPr>
          <w:rFonts w:ascii="Arial" w:hAnsi="Arial"/>
        </w:rPr>
        <w:t xml:space="preserve"> for more information.</w:t>
      </w:r>
    </w:p>
    <w:p w14:paraId="23B61E6D" w14:textId="77777777" w:rsidR="004E46A3" w:rsidRDefault="004E46A3"/>
    <w:p w14:paraId="1CBA0CAC" w14:textId="725149EB" w:rsidR="004E46A3" w:rsidRDefault="004E46A3" w:rsidP="006230F5">
      <w:pPr>
        <w:rPr>
          <w:rFonts w:ascii="Arial" w:hAnsi="Arial"/>
        </w:rPr>
      </w:pPr>
      <w:smartTag w:uri="urn:schemas-microsoft-com:office:smarttags" w:element="place">
        <w:smartTag w:uri="urn:schemas-microsoft-com:office:smarttags" w:element="country-region">
          <w:r>
            <w:rPr>
              <w:rFonts w:ascii="Arial" w:hAnsi="Arial"/>
            </w:rPr>
            <w:t>Col.</w:t>
          </w:r>
        </w:smartTag>
      </w:smartTag>
      <w:r>
        <w:rPr>
          <w:rFonts w:ascii="Arial" w:hAnsi="Arial"/>
        </w:rPr>
        <w:t xml:space="preserve"> A – Balance as of July 1, </w:t>
      </w:r>
      <w:r w:rsidR="00C7479F" w:rsidRPr="2B835493">
        <w:rPr>
          <w:rFonts w:ascii="Arial" w:hAnsi="Arial"/>
        </w:rPr>
        <w:t>20</w:t>
      </w:r>
      <w:r w:rsidR="00EB63D6" w:rsidRPr="2B835493">
        <w:rPr>
          <w:rFonts w:ascii="Arial" w:hAnsi="Arial"/>
        </w:rPr>
        <w:t>2</w:t>
      </w:r>
      <w:r w:rsidR="008D2E65">
        <w:rPr>
          <w:rFonts w:ascii="Arial" w:hAnsi="Arial"/>
        </w:rPr>
        <w:t>4</w:t>
      </w:r>
      <w:r>
        <w:rPr>
          <w:rFonts w:ascii="Arial" w:hAnsi="Arial"/>
        </w:rPr>
        <w:t xml:space="preserve"> – Include current and non-current portions.</w:t>
      </w:r>
    </w:p>
    <w:p w14:paraId="2884EA7E" w14:textId="06147336" w:rsidR="004E46A3" w:rsidRDefault="004E46A3">
      <w:pPr>
        <w:rPr>
          <w:rFonts w:ascii="Arial" w:hAnsi="Arial"/>
        </w:rPr>
      </w:pPr>
      <w:smartTag w:uri="urn:schemas-microsoft-com:office:smarttags" w:element="place">
        <w:smartTag w:uri="urn:schemas-microsoft-com:office:smarttags" w:element="country-region">
          <w:r>
            <w:rPr>
              <w:rFonts w:ascii="Arial" w:hAnsi="Arial"/>
            </w:rPr>
            <w:t>Col.</w:t>
          </w:r>
        </w:smartTag>
      </w:smartTag>
      <w:r w:rsidR="00FA68D2">
        <w:rPr>
          <w:rFonts w:ascii="Arial" w:hAnsi="Arial"/>
        </w:rPr>
        <w:t xml:space="preserve"> </w:t>
      </w:r>
      <w:r>
        <w:rPr>
          <w:rFonts w:ascii="Arial" w:hAnsi="Arial"/>
        </w:rPr>
        <w:t xml:space="preserve">B – </w:t>
      </w:r>
      <w:r w:rsidR="004F58AB">
        <w:rPr>
          <w:rFonts w:ascii="Arial" w:hAnsi="Arial"/>
        </w:rPr>
        <w:t>Adjustments to July 1 Balance</w:t>
      </w:r>
      <w:r w:rsidR="00AD0FFC">
        <w:rPr>
          <w:rFonts w:ascii="Arial" w:hAnsi="Arial"/>
        </w:rPr>
        <w:t xml:space="preserve"> (</w:t>
      </w:r>
      <w:r>
        <w:rPr>
          <w:rFonts w:ascii="Arial" w:hAnsi="Arial"/>
        </w:rPr>
        <w:t>fund reclassifications</w:t>
      </w:r>
      <w:r w:rsidR="00AD0FFC">
        <w:rPr>
          <w:rFonts w:ascii="Arial" w:hAnsi="Arial"/>
        </w:rPr>
        <w:t xml:space="preserve"> and restatements)</w:t>
      </w:r>
      <w:r>
        <w:rPr>
          <w:rFonts w:ascii="Arial" w:hAnsi="Arial"/>
        </w:rPr>
        <w:t>.</w:t>
      </w:r>
    </w:p>
    <w:p w14:paraId="0E24AC9B" w14:textId="26AB0914" w:rsidR="00E90C1D" w:rsidRDefault="004E46A3">
      <w:pPr>
        <w:ind w:left="864" w:hanging="864"/>
        <w:rPr>
          <w:rFonts w:ascii="Arial" w:hAnsi="Arial"/>
        </w:rPr>
      </w:pPr>
      <w:smartTag w:uri="urn:schemas-microsoft-com:office:smarttags" w:element="place">
        <w:smartTag w:uri="urn:schemas-microsoft-com:office:smarttags" w:element="country-region">
          <w:r>
            <w:rPr>
              <w:rFonts w:ascii="Arial" w:hAnsi="Arial"/>
            </w:rPr>
            <w:t>Col.</w:t>
          </w:r>
        </w:smartTag>
      </w:smartTag>
      <w:r w:rsidR="00FA68D2">
        <w:rPr>
          <w:rFonts w:ascii="Arial" w:hAnsi="Arial"/>
        </w:rPr>
        <w:t xml:space="preserve"> </w:t>
      </w:r>
      <w:r>
        <w:rPr>
          <w:rFonts w:ascii="Arial" w:hAnsi="Arial"/>
        </w:rPr>
        <w:t xml:space="preserve">C – Long-term liabilities which have become </w:t>
      </w:r>
      <w:r w:rsidR="00D5693B">
        <w:rPr>
          <w:rFonts w:ascii="Arial" w:hAnsi="Arial"/>
        </w:rPr>
        <w:t xml:space="preserve">the </w:t>
      </w:r>
      <w:proofErr w:type="gramStart"/>
      <w:r w:rsidR="00D5693B">
        <w:rPr>
          <w:rFonts w:ascii="Arial" w:hAnsi="Arial"/>
        </w:rPr>
        <w:t xml:space="preserve">entity’s </w:t>
      </w:r>
      <w:r>
        <w:rPr>
          <w:rFonts w:ascii="Arial" w:hAnsi="Arial"/>
        </w:rPr>
        <w:t xml:space="preserve"> liabilities</w:t>
      </w:r>
      <w:proofErr w:type="gramEnd"/>
      <w:r>
        <w:rPr>
          <w:rFonts w:ascii="Arial" w:hAnsi="Arial"/>
        </w:rPr>
        <w:t xml:space="preserve"> during the current fiscal year and have been appropriately recorded in the agency’s General Ledger</w:t>
      </w:r>
      <w:r w:rsidR="00514C8C">
        <w:rPr>
          <w:rFonts w:ascii="Arial" w:hAnsi="Arial"/>
        </w:rPr>
        <w:t xml:space="preserve">. </w:t>
      </w:r>
    </w:p>
    <w:p w14:paraId="2FFE7F11" w14:textId="1E9F5588" w:rsidR="004E46A3" w:rsidRDefault="004E46A3">
      <w:pPr>
        <w:ind w:left="864" w:hanging="864"/>
        <w:rPr>
          <w:rFonts w:ascii="Arial" w:hAnsi="Arial"/>
        </w:rPr>
      </w:pPr>
      <w:r>
        <w:rPr>
          <w:rFonts w:ascii="Arial" w:hAnsi="Arial"/>
        </w:rPr>
        <w:t>Col.</w:t>
      </w:r>
      <w:r w:rsidR="00FA68D2">
        <w:rPr>
          <w:rFonts w:ascii="Arial" w:hAnsi="Arial"/>
        </w:rPr>
        <w:t xml:space="preserve"> </w:t>
      </w:r>
      <w:r>
        <w:rPr>
          <w:rFonts w:ascii="Arial" w:hAnsi="Arial"/>
        </w:rPr>
        <w:t xml:space="preserve">D – Those portions of long-term liabilities paid by the </w:t>
      </w:r>
      <w:r w:rsidR="00AA615A">
        <w:rPr>
          <w:rFonts w:ascii="Arial" w:hAnsi="Arial"/>
        </w:rPr>
        <w:t>entity</w:t>
      </w:r>
      <w:r>
        <w:rPr>
          <w:rFonts w:ascii="Arial" w:hAnsi="Arial"/>
        </w:rPr>
        <w:t xml:space="preserve"> during the current fiscal year and recorded as a reduction of long-term liabilities in the General Ledger.</w:t>
      </w:r>
      <w:r w:rsidR="00B46B8A">
        <w:rPr>
          <w:rFonts w:ascii="Arial" w:hAnsi="Arial"/>
        </w:rPr>
        <w:t xml:space="preserve"> Also, include debt </w:t>
      </w:r>
      <w:proofErr w:type="spellStart"/>
      <w:r w:rsidR="00B46B8A">
        <w:rPr>
          <w:rFonts w:ascii="Arial" w:hAnsi="Arial"/>
        </w:rPr>
        <w:t>defeased</w:t>
      </w:r>
      <w:proofErr w:type="spellEnd"/>
      <w:r w:rsidR="00B46B8A">
        <w:rPr>
          <w:rFonts w:ascii="Arial" w:hAnsi="Arial"/>
        </w:rPr>
        <w:t xml:space="preserve"> during the current yea</w:t>
      </w:r>
      <w:r w:rsidR="00B46B8A" w:rsidRPr="00E90C1D">
        <w:rPr>
          <w:rFonts w:ascii="Arial" w:hAnsi="Arial"/>
        </w:rPr>
        <w:t>r.</w:t>
      </w:r>
      <w:r w:rsidR="00514C8C" w:rsidRPr="00E90C1D">
        <w:rPr>
          <w:rFonts w:ascii="Arial" w:hAnsi="Arial"/>
        </w:rPr>
        <w:t xml:space="preserve"> </w:t>
      </w:r>
    </w:p>
    <w:p w14:paraId="515D70F6" w14:textId="5CF2D928" w:rsidR="004E46A3" w:rsidRDefault="004E46A3" w:rsidP="006230F5">
      <w:pPr>
        <w:ind w:left="864" w:hanging="864"/>
        <w:rPr>
          <w:rFonts w:ascii="Arial" w:hAnsi="Arial"/>
        </w:rPr>
      </w:pPr>
      <w:r>
        <w:rPr>
          <w:rFonts w:ascii="Arial" w:hAnsi="Arial"/>
        </w:rPr>
        <w:t xml:space="preserve">Col. E – Balance as of June 30, </w:t>
      </w:r>
      <w:r w:rsidR="00611984" w:rsidRPr="2B835493">
        <w:rPr>
          <w:rFonts w:ascii="Arial" w:hAnsi="Arial"/>
        </w:rPr>
        <w:t>20</w:t>
      </w:r>
      <w:r w:rsidR="00462E86" w:rsidRPr="2B835493">
        <w:rPr>
          <w:rFonts w:ascii="Arial" w:hAnsi="Arial"/>
        </w:rPr>
        <w:t>2</w:t>
      </w:r>
      <w:r w:rsidR="003049C6">
        <w:rPr>
          <w:rFonts w:ascii="Arial" w:hAnsi="Arial"/>
        </w:rPr>
        <w:t>5</w:t>
      </w:r>
      <w:r>
        <w:rPr>
          <w:rFonts w:ascii="Arial" w:hAnsi="Arial"/>
        </w:rPr>
        <w:t xml:space="preserve"> – Balance per General Ledger at year end. Must agree to balance sheet amount for each item listed in each caption</w:t>
      </w:r>
      <w:r w:rsidRPr="00E90C1D">
        <w:rPr>
          <w:rFonts w:ascii="Arial" w:hAnsi="Arial"/>
        </w:rPr>
        <w:t>.</w:t>
      </w:r>
      <w:r>
        <w:rPr>
          <w:rFonts w:ascii="Arial" w:hAnsi="Arial"/>
        </w:rPr>
        <w:t xml:space="preserve"> Include current and non-current portions.</w:t>
      </w:r>
      <w:r w:rsidR="00514C8C">
        <w:rPr>
          <w:rFonts w:ascii="Arial" w:hAnsi="Arial"/>
        </w:rPr>
        <w:t xml:space="preserve"> </w:t>
      </w:r>
    </w:p>
    <w:p w14:paraId="08C379A4" w14:textId="66BAC0A5" w:rsidR="004E46A3" w:rsidRDefault="004E46A3" w:rsidP="00482C7E">
      <w:pPr>
        <w:ind w:left="864" w:hanging="864"/>
        <w:rPr>
          <w:rFonts w:ascii="Arial" w:hAnsi="Arial"/>
        </w:rPr>
      </w:pPr>
      <w:smartTag w:uri="urn:schemas-microsoft-com:office:smarttags" w:element="place">
        <w:smartTag w:uri="urn:schemas-microsoft-com:office:smarttags" w:element="country-region">
          <w:r>
            <w:rPr>
              <w:rFonts w:ascii="Arial" w:hAnsi="Arial"/>
            </w:rPr>
            <w:t>Col.</w:t>
          </w:r>
        </w:smartTag>
      </w:smartTag>
      <w:r w:rsidR="00FA68D2">
        <w:rPr>
          <w:rFonts w:ascii="Arial" w:hAnsi="Arial"/>
        </w:rPr>
        <w:t xml:space="preserve"> </w:t>
      </w:r>
      <w:r>
        <w:rPr>
          <w:rFonts w:ascii="Arial" w:hAnsi="Arial"/>
        </w:rPr>
        <w:t xml:space="preserve">F – Current portion of long-term liabilities due and payable </w:t>
      </w:r>
      <w:r w:rsidR="00B42527">
        <w:rPr>
          <w:rFonts w:ascii="Arial" w:hAnsi="Arial"/>
        </w:rPr>
        <w:t>within one year</w:t>
      </w:r>
      <w:r>
        <w:rPr>
          <w:rFonts w:ascii="Arial" w:hAnsi="Arial"/>
        </w:rPr>
        <w:t xml:space="preserve"> (July 1, </w:t>
      </w:r>
      <w:r w:rsidR="00611984">
        <w:rPr>
          <w:rFonts w:ascii="Arial" w:hAnsi="Arial"/>
        </w:rPr>
        <w:t>20</w:t>
      </w:r>
      <w:r w:rsidR="00FB4D36">
        <w:rPr>
          <w:rFonts w:ascii="Arial" w:hAnsi="Arial"/>
        </w:rPr>
        <w:t>2</w:t>
      </w:r>
      <w:r w:rsidR="000A31F6">
        <w:rPr>
          <w:rFonts w:ascii="Arial" w:hAnsi="Arial"/>
        </w:rPr>
        <w:t>4</w:t>
      </w:r>
      <w:r>
        <w:rPr>
          <w:rFonts w:ascii="Arial" w:hAnsi="Arial"/>
        </w:rPr>
        <w:t xml:space="preserve"> – June 30, </w:t>
      </w:r>
      <w:r w:rsidR="00443BCB">
        <w:rPr>
          <w:rFonts w:ascii="Arial" w:hAnsi="Arial"/>
        </w:rPr>
        <w:t>20</w:t>
      </w:r>
      <w:r w:rsidR="00462E86">
        <w:rPr>
          <w:rFonts w:ascii="Arial" w:hAnsi="Arial"/>
        </w:rPr>
        <w:t>2</w:t>
      </w:r>
      <w:r w:rsidR="000A31F6">
        <w:rPr>
          <w:rFonts w:ascii="Arial" w:hAnsi="Arial"/>
        </w:rPr>
        <w:t>5</w:t>
      </w:r>
      <w:r>
        <w:rPr>
          <w:rFonts w:ascii="Arial" w:hAnsi="Arial"/>
        </w:rPr>
        <w:t xml:space="preserve">).  For BTAs, </w:t>
      </w:r>
      <w:proofErr w:type="gramStart"/>
      <w:r>
        <w:rPr>
          <w:rFonts w:ascii="Arial" w:hAnsi="Arial"/>
        </w:rPr>
        <w:t>balances</w:t>
      </w:r>
      <w:proofErr w:type="gramEnd"/>
      <w:r>
        <w:rPr>
          <w:rFonts w:ascii="Arial" w:hAnsi="Arial"/>
        </w:rPr>
        <w:t xml:space="preserve"> must agree to the current liability captions on the statement of </w:t>
      </w:r>
      <w:r w:rsidR="00B33DA2">
        <w:rPr>
          <w:rFonts w:ascii="Arial" w:hAnsi="Arial"/>
        </w:rPr>
        <w:t>net position</w:t>
      </w:r>
      <w:r w:rsidRPr="00E90C1D">
        <w:rPr>
          <w:rFonts w:ascii="Arial" w:hAnsi="Arial"/>
        </w:rPr>
        <w:t>.</w:t>
      </w:r>
      <w:r w:rsidR="00ED55F2" w:rsidRPr="00E90C1D">
        <w:rPr>
          <w:rFonts w:ascii="Arial" w:hAnsi="Arial"/>
        </w:rPr>
        <w:t xml:space="preserve"> </w:t>
      </w:r>
    </w:p>
    <w:p w14:paraId="4E1E4E1C" w14:textId="77777777" w:rsidR="00967635" w:rsidRPr="00967635" w:rsidRDefault="00967635">
      <w:pPr>
        <w:rPr>
          <w:rFonts w:ascii="Arial" w:hAnsi="Arial" w:cs="Arial"/>
        </w:rPr>
      </w:pPr>
    </w:p>
    <w:p w14:paraId="7BA77796" w14:textId="77777777" w:rsidR="004540A1" w:rsidRDefault="004540A1" w:rsidP="004540A1">
      <w:pPr>
        <w:rPr>
          <w:rFonts w:ascii="Arial" w:hAnsi="Arial"/>
        </w:rPr>
      </w:pPr>
      <w:r w:rsidRPr="00B44687">
        <w:rPr>
          <w:rFonts w:ascii="Arial" w:hAnsi="Arial"/>
        </w:rPr>
        <w:t>Notes from direct borrowings</w:t>
      </w:r>
      <w:r>
        <w:rPr>
          <w:rFonts w:ascii="Arial" w:hAnsi="Arial"/>
        </w:rPr>
        <w:t xml:space="preserve"> –</w:t>
      </w:r>
      <w:r w:rsidR="008B518D">
        <w:rPr>
          <w:rFonts w:ascii="Arial" w:hAnsi="Arial"/>
        </w:rPr>
        <w:t xml:space="preserve"> </w:t>
      </w:r>
      <w:r>
        <w:rPr>
          <w:rFonts w:ascii="Arial" w:hAnsi="Arial"/>
        </w:rPr>
        <w:t xml:space="preserve">An example of direct borrowings is a government entering into a loan agreement with a lender, such as a bank loan. </w:t>
      </w:r>
      <w:r w:rsidR="00F63CE7">
        <w:rPr>
          <w:rFonts w:ascii="Arial" w:hAnsi="Arial"/>
        </w:rPr>
        <w:t xml:space="preserve">Direct borrowings have </w:t>
      </w:r>
      <w:r w:rsidR="00F63CE7" w:rsidRPr="000538EF">
        <w:rPr>
          <w:rFonts w:ascii="Arial" w:hAnsi="Arial"/>
          <w:u w:val="single"/>
        </w:rPr>
        <w:t>terms negotiated directly with a lender and are not offered for public sale</w:t>
      </w:r>
      <w:r w:rsidR="00F63CE7">
        <w:rPr>
          <w:rFonts w:ascii="Arial" w:hAnsi="Arial"/>
        </w:rPr>
        <w:t xml:space="preserve">. </w:t>
      </w:r>
      <w:r w:rsidR="008110AC">
        <w:rPr>
          <w:rFonts w:ascii="Arial" w:hAnsi="Arial"/>
        </w:rPr>
        <w:t xml:space="preserve">Classify this type of debt </w:t>
      </w:r>
      <w:r w:rsidR="00B2422B">
        <w:rPr>
          <w:rFonts w:ascii="Arial" w:hAnsi="Arial"/>
        </w:rPr>
        <w:t>as notes from direct borrowings</w:t>
      </w:r>
      <w:r w:rsidR="00E90C1D">
        <w:rPr>
          <w:rFonts w:ascii="Arial" w:hAnsi="Arial"/>
        </w:rPr>
        <w:t xml:space="preserve">. </w:t>
      </w:r>
      <w:r w:rsidR="000538EF">
        <w:rPr>
          <w:rFonts w:ascii="Arial" w:hAnsi="Arial"/>
        </w:rPr>
        <w:t xml:space="preserve">Guaranteed Energy Savings contracts should be classified as notes from direct borrowings. </w:t>
      </w:r>
    </w:p>
    <w:p w14:paraId="62A3B984" w14:textId="77777777" w:rsidR="00702DA9" w:rsidRDefault="00702DA9">
      <w:pPr>
        <w:rPr>
          <w:rFonts w:ascii="Arial" w:hAnsi="Arial"/>
        </w:rPr>
      </w:pPr>
    </w:p>
    <w:p w14:paraId="3E10D8E4" w14:textId="77777777" w:rsidR="004540A1" w:rsidRDefault="00702DA9">
      <w:pPr>
        <w:rPr>
          <w:rFonts w:ascii="Arial" w:hAnsi="Arial"/>
        </w:rPr>
      </w:pPr>
      <w:r>
        <w:rPr>
          <w:rFonts w:ascii="Arial" w:hAnsi="Arial"/>
        </w:rPr>
        <w:t>D</w:t>
      </w:r>
      <w:r w:rsidR="004540A1">
        <w:rPr>
          <w:rFonts w:ascii="Arial" w:hAnsi="Arial"/>
        </w:rPr>
        <w:t>irect placements</w:t>
      </w:r>
      <w:r w:rsidR="00B2422B">
        <w:rPr>
          <w:rFonts w:ascii="Arial" w:hAnsi="Arial"/>
        </w:rPr>
        <w:t xml:space="preserve"> </w:t>
      </w:r>
      <w:r w:rsidR="004540A1">
        <w:rPr>
          <w:rFonts w:ascii="Arial" w:hAnsi="Arial"/>
        </w:rPr>
        <w:t>–</w:t>
      </w:r>
      <w:r w:rsidR="00B2422B">
        <w:rPr>
          <w:rFonts w:ascii="Arial" w:hAnsi="Arial"/>
        </w:rPr>
        <w:t xml:space="preserve"> </w:t>
      </w:r>
      <w:r w:rsidR="004540A1">
        <w:rPr>
          <w:rFonts w:ascii="Arial" w:hAnsi="Arial"/>
        </w:rPr>
        <w:t xml:space="preserve">An example of direct placements is a government issuing a debt security directly to an investor, such as the sale of a </w:t>
      </w:r>
      <w:r w:rsidR="00BC638C">
        <w:rPr>
          <w:rFonts w:ascii="Arial" w:hAnsi="Arial"/>
        </w:rPr>
        <w:t xml:space="preserve">new debt </w:t>
      </w:r>
      <w:r w:rsidR="004540A1">
        <w:rPr>
          <w:rFonts w:ascii="Arial" w:hAnsi="Arial"/>
        </w:rPr>
        <w:t>security</w:t>
      </w:r>
      <w:r w:rsidR="00BC638C">
        <w:rPr>
          <w:rFonts w:ascii="Arial" w:hAnsi="Arial"/>
        </w:rPr>
        <w:t xml:space="preserve"> issue</w:t>
      </w:r>
      <w:r w:rsidR="004540A1">
        <w:rPr>
          <w:rFonts w:ascii="Arial" w:hAnsi="Arial"/>
        </w:rPr>
        <w:t xml:space="preserve"> to a limited number of buyers rather than to the </w:t>
      </w:r>
      <w:proofErr w:type="gramStart"/>
      <w:r w:rsidR="004540A1">
        <w:rPr>
          <w:rFonts w:ascii="Arial" w:hAnsi="Arial"/>
        </w:rPr>
        <w:t>general public</w:t>
      </w:r>
      <w:proofErr w:type="gramEnd"/>
      <w:r w:rsidR="004540A1">
        <w:rPr>
          <w:rFonts w:ascii="Arial" w:hAnsi="Arial"/>
        </w:rPr>
        <w:t>.</w:t>
      </w:r>
      <w:r w:rsidR="00B2422B">
        <w:rPr>
          <w:rFonts w:ascii="Arial" w:hAnsi="Arial"/>
        </w:rPr>
        <w:t xml:space="preserve"> Direct placements have </w:t>
      </w:r>
      <w:r w:rsidR="00B2422B" w:rsidRPr="000538EF">
        <w:rPr>
          <w:rFonts w:ascii="Arial" w:hAnsi="Arial"/>
          <w:u w:val="single"/>
        </w:rPr>
        <w:t>terms negotiated directly with an investor and are not offered for public sale</w:t>
      </w:r>
      <w:r w:rsidR="00B2422B">
        <w:rPr>
          <w:rFonts w:ascii="Arial" w:hAnsi="Arial"/>
        </w:rPr>
        <w:t>.</w:t>
      </w:r>
      <w:r w:rsidR="000538EF">
        <w:rPr>
          <w:rFonts w:ascii="Arial" w:hAnsi="Arial"/>
        </w:rPr>
        <w:t xml:space="preserve">  Bonds payable that are not offered for public sale should be classified as notes from direct placements. </w:t>
      </w:r>
    </w:p>
    <w:p w14:paraId="275D77CC" w14:textId="77777777" w:rsidR="004540A1" w:rsidRDefault="004540A1">
      <w:pPr>
        <w:rPr>
          <w:rFonts w:ascii="Arial" w:hAnsi="Arial"/>
        </w:rPr>
      </w:pPr>
    </w:p>
    <w:p w14:paraId="47C9A633" w14:textId="5A0D9B2A" w:rsidR="004E46A3" w:rsidRDefault="0004069C">
      <w:pPr>
        <w:rPr>
          <w:rFonts w:ascii="Arial" w:hAnsi="Arial"/>
        </w:rPr>
      </w:pPr>
      <w:r>
        <w:rPr>
          <w:rFonts w:ascii="Arial" w:hAnsi="Arial"/>
        </w:rPr>
        <w:t>A</w:t>
      </w:r>
      <w:r w:rsidR="004E46A3">
        <w:rPr>
          <w:rFonts w:ascii="Arial" w:hAnsi="Arial"/>
        </w:rPr>
        <w:t>ccrued interest –</w:t>
      </w:r>
      <w:r w:rsidR="00584F5C">
        <w:rPr>
          <w:rFonts w:ascii="Arial" w:hAnsi="Arial"/>
        </w:rPr>
        <w:t xml:space="preserve">This line is only applicable to agencies with outstanding </w:t>
      </w:r>
      <w:r w:rsidR="00A217CF">
        <w:rPr>
          <w:rFonts w:ascii="Arial" w:hAnsi="Arial"/>
        </w:rPr>
        <w:t xml:space="preserve">balances of </w:t>
      </w:r>
      <w:r w:rsidR="00584F5C">
        <w:rPr>
          <w:rFonts w:ascii="Arial" w:hAnsi="Arial"/>
        </w:rPr>
        <w:t xml:space="preserve">bonds, </w:t>
      </w:r>
      <w:r w:rsidR="00453784">
        <w:rPr>
          <w:rFonts w:ascii="Arial" w:hAnsi="Arial"/>
        </w:rPr>
        <w:t xml:space="preserve">notes from direct borrowings, </w:t>
      </w:r>
      <w:r w:rsidR="00115B8B">
        <w:rPr>
          <w:rFonts w:ascii="Arial" w:hAnsi="Arial"/>
        </w:rPr>
        <w:t>d</w:t>
      </w:r>
      <w:r w:rsidR="00453784">
        <w:rPr>
          <w:rFonts w:ascii="Arial" w:hAnsi="Arial"/>
        </w:rPr>
        <w:t>irect placements</w:t>
      </w:r>
      <w:r w:rsidR="00F5612C">
        <w:rPr>
          <w:rFonts w:ascii="Arial" w:hAnsi="Arial"/>
        </w:rPr>
        <w:t>,</w:t>
      </w:r>
      <w:r w:rsidR="00453784">
        <w:rPr>
          <w:rFonts w:ascii="Arial" w:hAnsi="Arial"/>
        </w:rPr>
        <w:t xml:space="preserve"> </w:t>
      </w:r>
      <w:r w:rsidR="003851E1" w:rsidRPr="00BE61BD">
        <w:rPr>
          <w:rFonts w:ascii="Arial" w:hAnsi="Arial"/>
        </w:rPr>
        <w:t xml:space="preserve">leases </w:t>
      </w:r>
      <w:r w:rsidR="00482E07" w:rsidRPr="00BE61BD">
        <w:rPr>
          <w:rFonts w:ascii="Arial" w:hAnsi="Arial"/>
        </w:rPr>
        <w:t>liability</w:t>
      </w:r>
      <w:r w:rsidR="00482E07">
        <w:rPr>
          <w:rFonts w:ascii="Arial" w:hAnsi="Arial"/>
        </w:rPr>
        <w:t xml:space="preserve">, and </w:t>
      </w:r>
      <w:r w:rsidR="00482E07" w:rsidRPr="2B835493">
        <w:rPr>
          <w:rFonts w:ascii="Arial" w:hAnsi="Arial"/>
        </w:rPr>
        <w:t>subscription (SBITA) liability</w:t>
      </w:r>
      <w:r w:rsidR="00584F5C">
        <w:rPr>
          <w:rFonts w:ascii="Arial" w:hAnsi="Arial"/>
        </w:rPr>
        <w:t xml:space="preserve">.  </w:t>
      </w:r>
      <w:r w:rsidR="00967635">
        <w:rPr>
          <w:rFonts w:ascii="Arial" w:hAnsi="Arial"/>
        </w:rPr>
        <w:t>I</w:t>
      </w:r>
      <w:r>
        <w:rPr>
          <w:rFonts w:ascii="Arial" w:hAnsi="Arial"/>
        </w:rPr>
        <w:t xml:space="preserve">nclude interest </w:t>
      </w:r>
      <w:r w:rsidR="001321A8">
        <w:rPr>
          <w:rFonts w:ascii="Arial" w:hAnsi="Arial"/>
        </w:rPr>
        <w:t xml:space="preserve">expense </w:t>
      </w:r>
      <w:r>
        <w:rPr>
          <w:rFonts w:ascii="Arial" w:hAnsi="Arial"/>
        </w:rPr>
        <w:t xml:space="preserve">incurred but not paid through June 30.  </w:t>
      </w:r>
      <w:r w:rsidR="00456B0B">
        <w:rPr>
          <w:rFonts w:ascii="Arial" w:hAnsi="Arial"/>
        </w:rPr>
        <w:t xml:space="preserve">Such interest is not recorded in the fund financial statements under the modified accrual basis of accounting.  </w:t>
      </w:r>
      <w:r>
        <w:rPr>
          <w:rFonts w:ascii="Arial" w:hAnsi="Arial"/>
        </w:rPr>
        <w:t>This data will be used by OSC to prepare an entry for the government-wide financial statements</w:t>
      </w:r>
      <w:r w:rsidR="001321A8">
        <w:rPr>
          <w:rFonts w:ascii="Arial" w:hAnsi="Arial"/>
        </w:rPr>
        <w:t xml:space="preserve"> (full accrual basis)</w:t>
      </w:r>
      <w:r>
        <w:rPr>
          <w:rFonts w:ascii="Arial" w:hAnsi="Arial"/>
        </w:rPr>
        <w:t xml:space="preserve">.  </w:t>
      </w:r>
      <w:r w:rsidR="002555C8">
        <w:rPr>
          <w:rFonts w:ascii="Arial" w:hAnsi="Arial"/>
        </w:rPr>
        <w:t>T</w:t>
      </w:r>
      <w:r w:rsidR="004E46A3">
        <w:rPr>
          <w:rFonts w:ascii="Arial" w:hAnsi="Arial"/>
        </w:rPr>
        <w:t>he beginning balance should be the amount report</w:t>
      </w:r>
      <w:r w:rsidR="005D5E9F">
        <w:rPr>
          <w:rFonts w:ascii="Arial" w:hAnsi="Arial"/>
        </w:rPr>
        <w:t>ed</w:t>
      </w:r>
      <w:r w:rsidR="004E46A3">
        <w:rPr>
          <w:rFonts w:ascii="Arial" w:hAnsi="Arial"/>
        </w:rPr>
        <w:t xml:space="preserve"> in the prior year’s </w:t>
      </w:r>
      <w:r w:rsidR="00BF34BF">
        <w:rPr>
          <w:rFonts w:ascii="Arial" w:hAnsi="Arial"/>
        </w:rPr>
        <w:t>ACFR</w:t>
      </w:r>
      <w:r w:rsidR="006E0EEA">
        <w:rPr>
          <w:rFonts w:ascii="Arial" w:hAnsi="Arial"/>
        </w:rPr>
        <w:t xml:space="preserve"> worksheet</w:t>
      </w:r>
      <w:r w:rsidR="004E46A3">
        <w:rPr>
          <w:rFonts w:ascii="Arial" w:hAnsi="Arial"/>
        </w:rPr>
        <w:t>, the addition should be the current year</w:t>
      </w:r>
      <w:r w:rsidR="005D5E9F">
        <w:rPr>
          <w:rFonts w:ascii="Arial" w:hAnsi="Arial"/>
        </w:rPr>
        <w:t>’s</w:t>
      </w:r>
      <w:r w:rsidR="004E46A3">
        <w:rPr>
          <w:rFonts w:ascii="Arial" w:hAnsi="Arial"/>
        </w:rPr>
        <w:t xml:space="preserve"> accrued interest</w:t>
      </w:r>
      <w:r w:rsidR="0008192E">
        <w:rPr>
          <w:rFonts w:ascii="Arial" w:hAnsi="Arial"/>
        </w:rPr>
        <w:t>, and the deletion should be the amount of accrued interest that was paid in the current year</w:t>
      </w:r>
      <w:r w:rsidR="004E46A3" w:rsidRPr="00BE3795">
        <w:rPr>
          <w:rFonts w:ascii="Arial" w:hAnsi="Arial"/>
        </w:rPr>
        <w:t>.</w:t>
      </w:r>
      <w:r w:rsidR="00914F71" w:rsidRPr="00BE3795">
        <w:rPr>
          <w:rFonts w:ascii="Arial" w:hAnsi="Arial"/>
        </w:rPr>
        <w:t xml:space="preserve"> </w:t>
      </w:r>
      <w:r w:rsidR="00914F71" w:rsidRPr="00261109">
        <w:rPr>
          <w:rFonts w:ascii="Arial" w:hAnsi="Arial"/>
        </w:rPr>
        <w:t xml:space="preserve">For agencies that report accrued interest for bonds, notes, </w:t>
      </w:r>
      <w:r w:rsidR="00914F71">
        <w:rPr>
          <w:rFonts w:ascii="Arial" w:hAnsi="Arial"/>
        </w:rPr>
        <w:t>l</w:t>
      </w:r>
      <w:r w:rsidR="00914F71" w:rsidRPr="00261109">
        <w:rPr>
          <w:rFonts w:ascii="Arial" w:hAnsi="Arial"/>
        </w:rPr>
        <w:t>eases,</w:t>
      </w:r>
      <w:r w:rsidR="00A27F59">
        <w:rPr>
          <w:rFonts w:ascii="Arial" w:hAnsi="Arial"/>
        </w:rPr>
        <w:t xml:space="preserve"> </w:t>
      </w:r>
      <w:r w:rsidR="00A04006">
        <w:rPr>
          <w:rFonts w:ascii="Arial" w:hAnsi="Arial"/>
        </w:rPr>
        <w:t>and SBITAs</w:t>
      </w:r>
      <w:r w:rsidR="00A27F59" w:rsidRPr="00261109">
        <w:rPr>
          <w:rFonts w:ascii="Arial" w:hAnsi="Arial"/>
        </w:rPr>
        <w:t xml:space="preserve"> include the amount of interest related to leases </w:t>
      </w:r>
      <w:r w:rsidR="00E72119">
        <w:rPr>
          <w:rFonts w:ascii="Arial" w:hAnsi="Arial"/>
        </w:rPr>
        <w:t xml:space="preserve">and SBITAs </w:t>
      </w:r>
      <w:r w:rsidR="00A27F59" w:rsidRPr="00261109">
        <w:rPr>
          <w:rFonts w:ascii="Arial" w:hAnsi="Arial"/>
        </w:rPr>
        <w:t xml:space="preserve">on the Explanations tab so OSC can determine the portion of the interest </w:t>
      </w:r>
      <w:r w:rsidR="00FC2AC8" w:rsidRPr="00261109">
        <w:rPr>
          <w:rFonts w:ascii="Arial" w:hAnsi="Arial"/>
        </w:rPr>
        <w:t xml:space="preserve">that is related to </w:t>
      </w:r>
      <w:r w:rsidR="00A27F59" w:rsidRPr="00261109">
        <w:rPr>
          <w:rFonts w:ascii="Arial" w:hAnsi="Arial"/>
        </w:rPr>
        <w:t>leases</w:t>
      </w:r>
      <w:r w:rsidR="00E72119">
        <w:rPr>
          <w:rFonts w:ascii="Arial" w:hAnsi="Arial"/>
        </w:rPr>
        <w:t xml:space="preserve"> and SBITAs</w:t>
      </w:r>
      <w:r w:rsidR="00A27F59">
        <w:rPr>
          <w:rFonts w:ascii="Arial" w:hAnsi="Arial"/>
        </w:rPr>
        <w:t xml:space="preserve">. </w:t>
      </w:r>
    </w:p>
    <w:p w14:paraId="1DF9CB3F" w14:textId="77777777" w:rsidR="00F5612C" w:rsidRDefault="00F5612C">
      <w:pPr>
        <w:rPr>
          <w:rFonts w:ascii="Arial" w:hAnsi="Arial"/>
        </w:rPr>
      </w:pPr>
    </w:p>
    <w:p w14:paraId="12F6E5C3" w14:textId="60410123" w:rsidR="00DD4BC8" w:rsidRDefault="00DD4BC8" w:rsidP="00DD4BC8">
      <w:pPr>
        <w:rPr>
          <w:rFonts w:ascii="Arial" w:hAnsi="Arial" w:cs="Arial"/>
        </w:rPr>
      </w:pPr>
      <w:r>
        <w:rPr>
          <w:rFonts w:ascii="Arial" w:hAnsi="Arial"/>
        </w:rPr>
        <w:t xml:space="preserve">For increases in </w:t>
      </w:r>
      <w:r w:rsidR="00A0106B">
        <w:rPr>
          <w:rFonts w:ascii="Arial" w:hAnsi="Arial"/>
        </w:rPr>
        <w:t xml:space="preserve">General Obligation Bonds (excluding </w:t>
      </w:r>
      <w:proofErr w:type="spellStart"/>
      <w:r w:rsidR="00A0106B">
        <w:rPr>
          <w:rFonts w:ascii="Arial" w:hAnsi="Arial"/>
        </w:rPr>
        <w:t>refundings</w:t>
      </w:r>
      <w:proofErr w:type="spellEnd"/>
      <w:r w:rsidR="00A0106B">
        <w:rPr>
          <w:rFonts w:ascii="Arial" w:hAnsi="Arial"/>
        </w:rPr>
        <w:t>)</w:t>
      </w:r>
      <w:r>
        <w:rPr>
          <w:rFonts w:ascii="Arial" w:hAnsi="Arial"/>
        </w:rPr>
        <w:t xml:space="preserve">, record the proceeds in account </w:t>
      </w:r>
      <w:r w:rsidRPr="7D78AE01">
        <w:rPr>
          <w:rFonts w:ascii="Arial" w:hAnsi="Arial"/>
        </w:rPr>
        <w:t>4721</w:t>
      </w:r>
      <w:r w:rsidR="00A0106B" w:rsidRPr="7D78AE01">
        <w:rPr>
          <w:rFonts w:ascii="Arial" w:hAnsi="Arial"/>
        </w:rPr>
        <w:t>0</w:t>
      </w:r>
      <w:r w:rsidR="3D6312F2" w:rsidRPr="7D78AE01">
        <w:rPr>
          <w:rFonts w:ascii="Arial" w:hAnsi="Arial"/>
        </w:rPr>
        <w:t>000</w:t>
      </w:r>
      <w:r>
        <w:rPr>
          <w:rFonts w:ascii="Arial" w:hAnsi="Arial"/>
        </w:rPr>
        <w:t xml:space="preserve"> </w:t>
      </w:r>
      <w:r>
        <w:rPr>
          <w:rFonts w:ascii="Arial" w:hAnsi="Arial" w:cs="Arial"/>
        </w:rPr>
        <w:t xml:space="preserve">Proceeds – </w:t>
      </w:r>
      <w:r w:rsidR="00A0106B">
        <w:rPr>
          <w:rFonts w:ascii="Arial" w:hAnsi="Arial" w:cs="Arial"/>
        </w:rPr>
        <w:t xml:space="preserve">General </w:t>
      </w:r>
      <w:r>
        <w:rPr>
          <w:rFonts w:ascii="Arial" w:hAnsi="Arial" w:cs="Arial"/>
        </w:rPr>
        <w:t xml:space="preserve">Obligation Bonds.  Record principal payments on </w:t>
      </w:r>
      <w:r w:rsidR="00A0106B">
        <w:rPr>
          <w:rFonts w:ascii="Arial" w:hAnsi="Arial" w:cs="Arial"/>
        </w:rPr>
        <w:t>General Obligation Bonds</w:t>
      </w:r>
      <w:r>
        <w:rPr>
          <w:rFonts w:ascii="Arial" w:hAnsi="Arial" w:cs="Arial"/>
        </w:rPr>
        <w:t xml:space="preserve"> in account </w:t>
      </w:r>
      <w:r w:rsidRPr="009EA386">
        <w:rPr>
          <w:rFonts w:ascii="Arial" w:hAnsi="Arial" w:cs="Arial"/>
        </w:rPr>
        <w:t>55311</w:t>
      </w:r>
      <w:r w:rsidR="1C3D5E50" w:rsidRPr="009EA386">
        <w:rPr>
          <w:rFonts w:ascii="Arial" w:hAnsi="Arial" w:cs="Arial"/>
        </w:rPr>
        <w:t>000</w:t>
      </w:r>
      <w:r>
        <w:rPr>
          <w:rFonts w:ascii="Arial" w:hAnsi="Arial" w:cs="Arial"/>
        </w:rPr>
        <w:t xml:space="preserve"> – Bond Principal Payments.</w:t>
      </w:r>
    </w:p>
    <w:p w14:paraId="3295449F" w14:textId="2C2AE946" w:rsidR="00DD4BC8" w:rsidRDefault="00DD4BC8" w:rsidP="00DD4BC8">
      <w:pPr>
        <w:rPr>
          <w:rFonts w:ascii="Arial" w:hAnsi="Arial"/>
        </w:rPr>
      </w:pPr>
    </w:p>
    <w:p w14:paraId="3BB8F665" w14:textId="5B14A54B" w:rsidR="00DD4BC8" w:rsidRDefault="00DD4BC8" w:rsidP="00DD4BC8">
      <w:pPr>
        <w:rPr>
          <w:rFonts w:ascii="Arial" w:hAnsi="Arial" w:cs="Arial"/>
        </w:rPr>
      </w:pPr>
      <w:r>
        <w:rPr>
          <w:rFonts w:ascii="Arial" w:hAnsi="Arial"/>
        </w:rPr>
        <w:t>For increases in Special Indebtedness (</w:t>
      </w:r>
      <w:r w:rsidR="00D434DC">
        <w:rPr>
          <w:rFonts w:ascii="Arial" w:hAnsi="Arial"/>
        </w:rPr>
        <w:t xml:space="preserve">excluding </w:t>
      </w:r>
      <w:proofErr w:type="spellStart"/>
      <w:r w:rsidR="00D434DC">
        <w:rPr>
          <w:rFonts w:ascii="Arial" w:hAnsi="Arial"/>
        </w:rPr>
        <w:t>refundings</w:t>
      </w:r>
      <w:proofErr w:type="spellEnd"/>
      <w:r>
        <w:rPr>
          <w:rFonts w:ascii="Arial" w:hAnsi="Arial"/>
        </w:rPr>
        <w:t xml:space="preserve">), record the proceeds in account </w:t>
      </w:r>
      <w:r w:rsidRPr="7D78AE01">
        <w:rPr>
          <w:rFonts w:ascii="Arial" w:hAnsi="Arial"/>
        </w:rPr>
        <w:t>47219</w:t>
      </w:r>
      <w:r w:rsidR="3F077E12" w:rsidRPr="7D78AE01">
        <w:rPr>
          <w:rFonts w:ascii="Arial" w:hAnsi="Arial"/>
        </w:rPr>
        <w:t xml:space="preserve">000 </w:t>
      </w:r>
      <w:r w:rsidRPr="009EA386">
        <w:rPr>
          <w:rFonts w:ascii="Arial" w:hAnsi="Arial"/>
        </w:rPr>
        <w:t>Proceeds</w:t>
      </w:r>
      <w:r>
        <w:rPr>
          <w:rFonts w:ascii="Arial" w:hAnsi="Arial" w:cs="Arial"/>
        </w:rPr>
        <w:t xml:space="preserve"> – Limited Obligation Bonds or account </w:t>
      </w:r>
      <w:r w:rsidRPr="009EA386">
        <w:rPr>
          <w:rFonts w:ascii="Arial" w:hAnsi="Arial" w:cs="Arial"/>
        </w:rPr>
        <w:t>47216</w:t>
      </w:r>
      <w:r w:rsidR="322EEFDF" w:rsidRPr="009EA386">
        <w:rPr>
          <w:rFonts w:ascii="Arial" w:hAnsi="Arial" w:cs="Arial"/>
        </w:rPr>
        <w:t>000</w:t>
      </w:r>
      <w:r>
        <w:rPr>
          <w:rFonts w:ascii="Arial" w:hAnsi="Arial" w:cs="Arial"/>
        </w:rPr>
        <w:t xml:space="preserve"> Certificates of Participation.  Record principal payments on Special Indebtedness in account </w:t>
      </w:r>
      <w:r w:rsidRPr="009EA386">
        <w:rPr>
          <w:rFonts w:ascii="Arial" w:hAnsi="Arial" w:cs="Arial"/>
        </w:rPr>
        <w:t>55311</w:t>
      </w:r>
      <w:r w:rsidR="142C6F77" w:rsidRPr="009EA386">
        <w:rPr>
          <w:rFonts w:ascii="Arial" w:hAnsi="Arial" w:cs="Arial"/>
        </w:rPr>
        <w:t>000</w:t>
      </w:r>
      <w:r>
        <w:rPr>
          <w:rFonts w:ascii="Arial" w:hAnsi="Arial" w:cs="Arial"/>
        </w:rPr>
        <w:t xml:space="preserve"> – Bond Principal Payments.</w:t>
      </w:r>
    </w:p>
    <w:p w14:paraId="41D15AE8" w14:textId="77777777" w:rsidR="00A0106B" w:rsidRDefault="00A0106B" w:rsidP="00DD4BC8">
      <w:pPr>
        <w:rPr>
          <w:rFonts w:ascii="Arial" w:hAnsi="Arial" w:cs="Arial"/>
        </w:rPr>
      </w:pPr>
    </w:p>
    <w:p w14:paraId="1799446F" w14:textId="567801CC" w:rsidR="00A0106B" w:rsidRDefault="00A0106B" w:rsidP="00A0106B">
      <w:pPr>
        <w:rPr>
          <w:rFonts w:ascii="Arial" w:hAnsi="Arial" w:cs="Arial"/>
        </w:rPr>
      </w:pPr>
      <w:r>
        <w:rPr>
          <w:rFonts w:ascii="Arial" w:hAnsi="Arial"/>
        </w:rPr>
        <w:t xml:space="preserve">For increases in GARVEE Bonds (excluding </w:t>
      </w:r>
      <w:proofErr w:type="spellStart"/>
      <w:r w:rsidR="00C11B90">
        <w:rPr>
          <w:rFonts w:ascii="Arial" w:hAnsi="Arial"/>
        </w:rPr>
        <w:t>refundings</w:t>
      </w:r>
      <w:proofErr w:type="spellEnd"/>
      <w:r>
        <w:rPr>
          <w:rFonts w:ascii="Arial" w:hAnsi="Arial"/>
        </w:rPr>
        <w:t xml:space="preserve">), record the proceeds in account </w:t>
      </w:r>
      <w:r w:rsidRPr="009EA386">
        <w:rPr>
          <w:rFonts w:ascii="Arial" w:hAnsi="Arial"/>
        </w:rPr>
        <w:t>47218</w:t>
      </w:r>
      <w:r w:rsidR="0A27538F" w:rsidRPr="009EA386">
        <w:rPr>
          <w:rFonts w:ascii="Arial" w:hAnsi="Arial"/>
        </w:rPr>
        <w:t>000</w:t>
      </w:r>
      <w:r>
        <w:rPr>
          <w:rFonts w:ascii="Arial" w:hAnsi="Arial"/>
        </w:rPr>
        <w:t xml:space="preserve"> </w:t>
      </w:r>
      <w:r>
        <w:rPr>
          <w:rFonts w:ascii="Arial" w:hAnsi="Arial" w:cs="Arial"/>
        </w:rPr>
        <w:t xml:space="preserve">Proceeds – Grant Anticipation Revenue Vehicle Bonds.  Record principal payments on GARVEE Bonds in account </w:t>
      </w:r>
      <w:r w:rsidRPr="009EA386">
        <w:rPr>
          <w:rFonts w:ascii="Arial" w:hAnsi="Arial" w:cs="Arial"/>
        </w:rPr>
        <w:t>55311</w:t>
      </w:r>
      <w:r w:rsidR="320B6148" w:rsidRPr="009EA386">
        <w:rPr>
          <w:rFonts w:ascii="Arial" w:hAnsi="Arial" w:cs="Arial"/>
        </w:rPr>
        <w:t>000</w:t>
      </w:r>
      <w:r>
        <w:rPr>
          <w:rFonts w:ascii="Arial" w:hAnsi="Arial" w:cs="Arial"/>
        </w:rPr>
        <w:t xml:space="preserve"> – Bond Principal Payments.</w:t>
      </w:r>
    </w:p>
    <w:p w14:paraId="6DE31B1B" w14:textId="77777777" w:rsidR="00A0106B" w:rsidRDefault="00A0106B" w:rsidP="00DD4BC8">
      <w:pPr>
        <w:rPr>
          <w:rFonts w:ascii="Arial" w:hAnsi="Arial" w:cs="Arial"/>
        </w:rPr>
      </w:pPr>
    </w:p>
    <w:p w14:paraId="3C93D145" w14:textId="0BB31F86" w:rsidR="00D434DC" w:rsidRDefault="00D434DC" w:rsidP="00DD4BC8">
      <w:pPr>
        <w:rPr>
          <w:rFonts w:ascii="Arial" w:hAnsi="Arial" w:cs="Arial"/>
        </w:rPr>
      </w:pPr>
      <w:r>
        <w:rPr>
          <w:rFonts w:ascii="Arial" w:hAnsi="Arial" w:cs="Arial"/>
        </w:rPr>
        <w:t xml:space="preserve">For increases in General Obligation Bonds, Special Indebtedness, or GARVEE Bonds due to </w:t>
      </w:r>
      <w:r w:rsidR="00CE76E1">
        <w:rPr>
          <w:rFonts w:ascii="Arial" w:hAnsi="Arial" w:cs="Arial"/>
        </w:rPr>
        <w:t xml:space="preserve">a </w:t>
      </w:r>
      <w:r>
        <w:rPr>
          <w:rFonts w:ascii="Arial" w:hAnsi="Arial" w:cs="Arial"/>
        </w:rPr>
        <w:t xml:space="preserve">refunding, record the proceeds in account </w:t>
      </w:r>
      <w:r w:rsidRPr="009EA386">
        <w:rPr>
          <w:rFonts w:ascii="Arial" w:hAnsi="Arial" w:cs="Arial"/>
        </w:rPr>
        <w:t>47212</w:t>
      </w:r>
      <w:r w:rsidR="1D15D229" w:rsidRPr="009EA386">
        <w:rPr>
          <w:rFonts w:ascii="Arial" w:hAnsi="Arial" w:cs="Arial"/>
        </w:rPr>
        <w:t>000</w:t>
      </w:r>
      <w:r>
        <w:rPr>
          <w:rFonts w:ascii="Arial" w:hAnsi="Arial" w:cs="Arial"/>
        </w:rPr>
        <w:t xml:space="preserve"> – Proceed of Refunding Debt. </w:t>
      </w:r>
      <w:r w:rsidR="00CE76E1">
        <w:rPr>
          <w:rFonts w:ascii="Arial" w:hAnsi="Arial" w:cs="Arial"/>
        </w:rPr>
        <w:t xml:space="preserve"> </w:t>
      </w:r>
      <w:r>
        <w:rPr>
          <w:rFonts w:ascii="Arial" w:hAnsi="Arial" w:cs="Arial"/>
        </w:rPr>
        <w:t xml:space="preserve">Record payments to </w:t>
      </w:r>
      <w:r w:rsidR="00CE76E1">
        <w:rPr>
          <w:rFonts w:ascii="Arial" w:hAnsi="Arial" w:cs="Arial"/>
        </w:rPr>
        <w:t xml:space="preserve">an </w:t>
      </w:r>
      <w:r>
        <w:rPr>
          <w:rFonts w:ascii="Arial" w:hAnsi="Arial" w:cs="Arial"/>
        </w:rPr>
        <w:t xml:space="preserve">escrow agent </w:t>
      </w:r>
      <w:r w:rsidR="00CE76E1">
        <w:rPr>
          <w:rFonts w:ascii="Arial" w:hAnsi="Arial" w:cs="Arial"/>
        </w:rPr>
        <w:t xml:space="preserve">from refunding bond proceeds </w:t>
      </w:r>
      <w:r>
        <w:rPr>
          <w:rFonts w:ascii="Arial" w:hAnsi="Arial" w:cs="Arial"/>
        </w:rPr>
        <w:t xml:space="preserve">that are to be placed in an irrevocable trust in account </w:t>
      </w:r>
      <w:r w:rsidRPr="009EA386">
        <w:rPr>
          <w:rFonts w:ascii="Arial" w:hAnsi="Arial" w:cs="Arial"/>
        </w:rPr>
        <w:t>55333</w:t>
      </w:r>
      <w:r w:rsidR="342C38FF" w:rsidRPr="009EA386">
        <w:rPr>
          <w:rFonts w:ascii="Arial" w:hAnsi="Arial" w:cs="Arial"/>
        </w:rPr>
        <w:t>000</w:t>
      </w:r>
      <w:r>
        <w:rPr>
          <w:rFonts w:ascii="Arial" w:hAnsi="Arial" w:cs="Arial"/>
        </w:rPr>
        <w:t xml:space="preserve"> – Payments to Refunding Debt Escrow Agent.</w:t>
      </w:r>
    </w:p>
    <w:p w14:paraId="71298A30" w14:textId="77777777" w:rsidR="00C3553E" w:rsidRDefault="00C3553E">
      <w:pPr>
        <w:rPr>
          <w:rFonts w:ascii="Arial" w:hAnsi="Arial" w:cs="Arial"/>
        </w:rPr>
      </w:pPr>
    </w:p>
    <w:p w14:paraId="0397F5AB" w14:textId="34C6B2EA" w:rsidR="00C56947" w:rsidRDefault="00C3553E" w:rsidP="00C3553E">
      <w:pPr>
        <w:rPr>
          <w:rFonts w:ascii="Arial" w:hAnsi="Arial" w:cs="Arial"/>
        </w:rPr>
      </w:pPr>
      <w:r>
        <w:rPr>
          <w:rFonts w:ascii="Arial" w:hAnsi="Arial"/>
        </w:rPr>
        <w:t xml:space="preserve">For increases in </w:t>
      </w:r>
      <w:r w:rsidR="0025645D">
        <w:rPr>
          <w:rFonts w:ascii="Arial" w:hAnsi="Arial"/>
        </w:rPr>
        <w:t>N</w:t>
      </w:r>
      <w:r w:rsidR="00D74862">
        <w:rPr>
          <w:rFonts w:ascii="Arial" w:hAnsi="Arial"/>
        </w:rPr>
        <w:t>otes from direct borrowings</w:t>
      </w:r>
      <w:r>
        <w:rPr>
          <w:rFonts w:ascii="Arial" w:hAnsi="Arial"/>
        </w:rPr>
        <w:t xml:space="preserve">, record the proceeds in account </w:t>
      </w:r>
      <w:r w:rsidRPr="009EA386">
        <w:rPr>
          <w:rFonts w:ascii="Arial" w:hAnsi="Arial"/>
        </w:rPr>
        <w:t>47214</w:t>
      </w:r>
      <w:r w:rsidR="3D490500" w:rsidRPr="009EA386">
        <w:rPr>
          <w:rFonts w:ascii="Arial" w:hAnsi="Arial"/>
        </w:rPr>
        <w:t>000</w:t>
      </w:r>
      <w:r>
        <w:rPr>
          <w:rFonts w:ascii="Arial" w:hAnsi="Arial"/>
        </w:rPr>
        <w:t xml:space="preserve"> </w:t>
      </w:r>
      <w:r>
        <w:rPr>
          <w:rFonts w:ascii="Arial" w:hAnsi="Arial" w:cs="Arial"/>
        </w:rPr>
        <w:t xml:space="preserve">Proceeds – Other Financing.  Record </w:t>
      </w:r>
      <w:r w:rsidR="00DD4BC8">
        <w:rPr>
          <w:rFonts w:ascii="Arial" w:hAnsi="Arial" w:cs="Arial"/>
        </w:rPr>
        <w:t xml:space="preserve">principal </w:t>
      </w:r>
      <w:r>
        <w:rPr>
          <w:rFonts w:ascii="Arial" w:hAnsi="Arial" w:cs="Arial"/>
        </w:rPr>
        <w:t xml:space="preserve">payments on </w:t>
      </w:r>
      <w:r w:rsidR="006147D0">
        <w:rPr>
          <w:rFonts w:ascii="Arial" w:hAnsi="Arial" w:cs="Arial"/>
        </w:rPr>
        <w:t>notes from direct borrowings</w:t>
      </w:r>
      <w:r>
        <w:rPr>
          <w:rFonts w:ascii="Arial" w:hAnsi="Arial" w:cs="Arial"/>
        </w:rPr>
        <w:t xml:space="preserve"> in account </w:t>
      </w:r>
      <w:r w:rsidRPr="009EA386">
        <w:rPr>
          <w:rFonts w:ascii="Arial" w:hAnsi="Arial" w:cs="Arial"/>
        </w:rPr>
        <w:t>55314</w:t>
      </w:r>
      <w:r w:rsidR="0CA94C8A" w:rsidRPr="009EA386">
        <w:rPr>
          <w:rFonts w:ascii="Arial" w:hAnsi="Arial" w:cs="Arial"/>
        </w:rPr>
        <w:t>000</w:t>
      </w:r>
      <w:r>
        <w:rPr>
          <w:rFonts w:ascii="Arial" w:hAnsi="Arial" w:cs="Arial"/>
        </w:rPr>
        <w:t xml:space="preserve"> - Other Principal Payments.</w:t>
      </w:r>
      <w:r w:rsidR="00F5612C">
        <w:rPr>
          <w:rFonts w:ascii="Arial" w:hAnsi="Arial" w:cs="Arial"/>
        </w:rPr>
        <w:t xml:space="preserve"> </w:t>
      </w:r>
    </w:p>
    <w:p w14:paraId="6DE77805" w14:textId="014915F8" w:rsidR="009EA386" w:rsidRDefault="009EA386" w:rsidP="009EA386">
      <w:pPr>
        <w:rPr>
          <w:rFonts w:ascii="Arial" w:hAnsi="Arial" w:cs="Arial"/>
        </w:rPr>
      </w:pPr>
    </w:p>
    <w:p w14:paraId="23D2E7E4" w14:textId="6366FBBF" w:rsidR="00C56947" w:rsidRDefault="00C56947" w:rsidP="00C3553E">
      <w:pPr>
        <w:rPr>
          <w:rFonts w:ascii="Arial" w:hAnsi="Arial" w:cs="Arial"/>
        </w:rPr>
      </w:pPr>
      <w:r w:rsidRPr="00C56947">
        <w:rPr>
          <w:rFonts w:ascii="Arial" w:hAnsi="Arial" w:cs="Arial"/>
        </w:rPr>
        <w:t>For increases in Lease</w:t>
      </w:r>
      <w:r w:rsidR="00AF261D">
        <w:rPr>
          <w:rFonts w:ascii="Arial" w:hAnsi="Arial" w:cs="Arial"/>
        </w:rPr>
        <w:t xml:space="preserve"> liability</w:t>
      </w:r>
      <w:r w:rsidRPr="00C56947">
        <w:rPr>
          <w:rFonts w:ascii="Arial" w:hAnsi="Arial" w:cs="Arial"/>
        </w:rPr>
        <w:t xml:space="preserve">, record the proceeds in account </w:t>
      </w:r>
      <w:r w:rsidRPr="009EA386">
        <w:rPr>
          <w:rFonts w:ascii="Arial" w:hAnsi="Arial" w:cs="Arial"/>
        </w:rPr>
        <w:t>47213</w:t>
      </w:r>
      <w:r w:rsidR="5DF69267" w:rsidRPr="009EA386">
        <w:rPr>
          <w:rFonts w:ascii="Arial" w:hAnsi="Arial" w:cs="Arial"/>
        </w:rPr>
        <w:t>000</w:t>
      </w:r>
      <w:r w:rsidRPr="00C56947">
        <w:rPr>
          <w:rFonts w:ascii="Arial" w:hAnsi="Arial" w:cs="Arial"/>
        </w:rPr>
        <w:t xml:space="preserve"> Proceeds - Leases and the expenditure in the appropriate property, plant and equipment expenditure account with a 6/30 date.  Record principal payments on Lease </w:t>
      </w:r>
      <w:r w:rsidR="00F36CA6">
        <w:rPr>
          <w:rFonts w:ascii="Arial" w:hAnsi="Arial" w:cs="Arial"/>
        </w:rPr>
        <w:t>liability</w:t>
      </w:r>
      <w:r w:rsidRPr="00C56947">
        <w:rPr>
          <w:rFonts w:ascii="Arial" w:hAnsi="Arial" w:cs="Arial"/>
        </w:rPr>
        <w:t xml:space="preserve"> in account </w:t>
      </w:r>
      <w:r w:rsidRPr="009EA386">
        <w:rPr>
          <w:rFonts w:ascii="Arial" w:hAnsi="Arial" w:cs="Arial"/>
        </w:rPr>
        <w:t>55313</w:t>
      </w:r>
      <w:r w:rsidR="7EA41FCE" w:rsidRPr="009EA386">
        <w:rPr>
          <w:rFonts w:ascii="Arial" w:hAnsi="Arial" w:cs="Arial"/>
        </w:rPr>
        <w:t>000</w:t>
      </w:r>
      <w:r w:rsidRPr="00C56947">
        <w:rPr>
          <w:rFonts w:ascii="Arial" w:hAnsi="Arial" w:cs="Arial"/>
        </w:rPr>
        <w:t xml:space="preserve"> - Lease Principal Payments.</w:t>
      </w:r>
    </w:p>
    <w:p w14:paraId="23221796" w14:textId="77777777" w:rsidR="00C56947" w:rsidRDefault="00C56947" w:rsidP="00C3553E">
      <w:pPr>
        <w:rPr>
          <w:rFonts w:ascii="Arial" w:hAnsi="Arial" w:cs="Arial"/>
        </w:rPr>
      </w:pPr>
    </w:p>
    <w:p w14:paraId="04C795AA" w14:textId="04A2D3D9" w:rsidR="00C56947" w:rsidRDefault="00C56947" w:rsidP="00C3553E">
      <w:pPr>
        <w:rPr>
          <w:rFonts w:ascii="Arial" w:hAnsi="Arial" w:cs="Arial"/>
        </w:rPr>
      </w:pPr>
      <w:r w:rsidRPr="2B835493">
        <w:rPr>
          <w:rFonts w:ascii="Arial" w:hAnsi="Arial" w:cs="Arial"/>
        </w:rPr>
        <w:t xml:space="preserve">For increases in </w:t>
      </w:r>
      <w:r w:rsidR="007407C9" w:rsidRPr="2B835493">
        <w:rPr>
          <w:rFonts w:ascii="Arial" w:hAnsi="Arial" w:cs="Arial"/>
        </w:rPr>
        <w:t>Subscription (SBITA) liability</w:t>
      </w:r>
      <w:r w:rsidRPr="2B835493">
        <w:rPr>
          <w:rFonts w:ascii="Arial" w:hAnsi="Arial" w:cs="Arial"/>
        </w:rPr>
        <w:t xml:space="preserve">, record the proceeds in account </w:t>
      </w:r>
      <w:r w:rsidRPr="009EA386">
        <w:rPr>
          <w:rFonts w:ascii="Arial" w:hAnsi="Arial" w:cs="Arial"/>
        </w:rPr>
        <w:t>472</w:t>
      </w:r>
      <w:r w:rsidR="00791F3B" w:rsidRPr="009EA386">
        <w:rPr>
          <w:rFonts w:ascii="Arial" w:hAnsi="Arial" w:cs="Arial"/>
        </w:rPr>
        <w:t>21</w:t>
      </w:r>
      <w:r w:rsidR="17FCC791" w:rsidRPr="009EA386">
        <w:rPr>
          <w:rFonts w:ascii="Arial" w:hAnsi="Arial" w:cs="Arial"/>
        </w:rPr>
        <w:t>000</w:t>
      </w:r>
      <w:r w:rsidRPr="2B835493">
        <w:rPr>
          <w:rFonts w:ascii="Arial" w:hAnsi="Arial" w:cs="Arial"/>
        </w:rPr>
        <w:t xml:space="preserve"> Proceeds </w:t>
      </w:r>
      <w:r w:rsidR="00042530" w:rsidRPr="2B835493">
        <w:rPr>
          <w:rFonts w:ascii="Arial" w:hAnsi="Arial" w:cs="Arial"/>
        </w:rPr>
        <w:t xml:space="preserve">– Subscription Arrangements (SBITAs) </w:t>
      </w:r>
      <w:r w:rsidRPr="2B835493">
        <w:rPr>
          <w:rFonts w:ascii="Arial" w:hAnsi="Arial" w:cs="Arial"/>
        </w:rPr>
        <w:t xml:space="preserve">and the expenditure in the appropriate </w:t>
      </w:r>
      <w:r w:rsidR="003A61BD" w:rsidRPr="2B835493">
        <w:rPr>
          <w:rFonts w:ascii="Arial" w:hAnsi="Arial" w:cs="Arial"/>
        </w:rPr>
        <w:t>SBITA software or network</w:t>
      </w:r>
      <w:r w:rsidRPr="2B835493">
        <w:rPr>
          <w:rFonts w:ascii="Arial" w:hAnsi="Arial" w:cs="Arial"/>
        </w:rPr>
        <w:t xml:space="preserve"> expenditure account with a 6/30 date.  Record principal payments on </w:t>
      </w:r>
      <w:r w:rsidR="00F36CA6" w:rsidRPr="2B835493">
        <w:rPr>
          <w:rFonts w:ascii="Arial" w:hAnsi="Arial" w:cs="Arial"/>
        </w:rPr>
        <w:t>SBITA liability</w:t>
      </w:r>
      <w:r w:rsidRPr="2B835493">
        <w:rPr>
          <w:rFonts w:ascii="Arial" w:hAnsi="Arial" w:cs="Arial"/>
        </w:rPr>
        <w:t xml:space="preserve"> in account </w:t>
      </w:r>
      <w:r w:rsidRPr="009EA386">
        <w:rPr>
          <w:rFonts w:ascii="Arial" w:hAnsi="Arial" w:cs="Arial"/>
        </w:rPr>
        <w:t>5531</w:t>
      </w:r>
      <w:r w:rsidR="00F36CA6" w:rsidRPr="009EA386">
        <w:rPr>
          <w:rFonts w:ascii="Arial" w:hAnsi="Arial" w:cs="Arial"/>
        </w:rPr>
        <w:t>5</w:t>
      </w:r>
      <w:r w:rsidR="02F6E799" w:rsidRPr="009EA386">
        <w:rPr>
          <w:rFonts w:ascii="Arial" w:hAnsi="Arial" w:cs="Arial"/>
        </w:rPr>
        <w:t>000</w:t>
      </w:r>
      <w:r w:rsidRPr="2B835493">
        <w:rPr>
          <w:rFonts w:ascii="Arial" w:hAnsi="Arial" w:cs="Arial"/>
        </w:rPr>
        <w:t xml:space="preserve"> </w:t>
      </w:r>
      <w:r w:rsidR="00F36CA6" w:rsidRPr="2B835493">
        <w:rPr>
          <w:rFonts w:ascii="Arial" w:hAnsi="Arial" w:cs="Arial"/>
        </w:rPr>
        <w:t>–</w:t>
      </w:r>
      <w:r w:rsidRPr="2B835493">
        <w:rPr>
          <w:rFonts w:ascii="Arial" w:hAnsi="Arial" w:cs="Arial"/>
        </w:rPr>
        <w:t xml:space="preserve"> </w:t>
      </w:r>
      <w:r w:rsidR="00F36CA6" w:rsidRPr="2B835493">
        <w:rPr>
          <w:rFonts w:ascii="Arial" w:hAnsi="Arial" w:cs="Arial"/>
        </w:rPr>
        <w:t xml:space="preserve">SBITA </w:t>
      </w:r>
      <w:r w:rsidRPr="2B835493">
        <w:rPr>
          <w:rFonts w:ascii="Arial" w:hAnsi="Arial" w:cs="Arial"/>
        </w:rPr>
        <w:t>Principal Payments.</w:t>
      </w:r>
    </w:p>
    <w:p w14:paraId="68D0C876" w14:textId="34B7D2EC" w:rsidR="003851E1" w:rsidRDefault="003851E1">
      <w:pPr>
        <w:rPr>
          <w:rFonts w:ascii="Arial" w:hAnsi="Arial" w:cs="Arial"/>
        </w:rPr>
      </w:pPr>
    </w:p>
    <w:p w14:paraId="0B2371FE" w14:textId="53E48D51" w:rsidR="00204850" w:rsidRDefault="00204850">
      <w:pPr>
        <w:rPr>
          <w:rFonts w:ascii="Arial" w:hAnsi="Arial" w:cs="Arial"/>
        </w:rPr>
      </w:pPr>
      <w:r w:rsidRPr="000C1F7F">
        <w:rPr>
          <w:rFonts w:ascii="Arial" w:hAnsi="Arial" w:cs="Arial"/>
          <w:b/>
        </w:rPr>
        <w:t>Worksheet 305 – Function:</w:t>
      </w:r>
      <w:r>
        <w:rPr>
          <w:rFonts w:ascii="Arial" w:hAnsi="Arial" w:cs="Arial"/>
        </w:rPr>
        <w:t xml:space="preserve">  </w:t>
      </w:r>
      <w:r w:rsidRPr="000C1F7F">
        <w:rPr>
          <w:rFonts w:ascii="Arial" w:hAnsi="Arial" w:cs="Arial"/>
        </w:rPr>
        <w:t>State agencies must select a function</w:t>
      </w:r>
      <w:r>
        <w:rPr>
          <w:rFonts w:ascii="Arial" w:hAnsi="Arial" w:cs="Arial"/>
        </w:rPr>
        <w:t xml:space="preserve"> in the drop-down box. The function selected relates to the following liabilities:  arbitrage rebate payable, death benefit payable, workers compensation, pollution remediation payable, compensated absences, and cost settlement payable. </w:t>
      </w:r>
    </w:p>
    <w:p w14:paraId="03383D68" w14:textId="77777777" w:rsidR="00204850" w:rsidRDefault="00204850">
      <w:pPr>
        <w:rPr>
          <w:rFonts w:ascii="Arial" w:hAnsi="Arial" w:cs="Arial"/>
          <w:b/>
        </w:rPr>
      </w:pPr>
    </w:p>
    <w:p w14:paraId="2CA74A1C" w14:textId="1A65098C" w:rsidR="003E03CF" w:rsidRPr="00EA4908" w:rsidRDefault="003E03CF">
      <w:pPr>
        <w:rPr>
          <w:rFonts w:ascii="Arial" w:hAnsi="Arial" w:cs="Arial"/>
          <w:b/>
          <w:bCs/>
          <w:color w:val="FF0000"/>
          <w:u w:val="single"/>
        </w:rPr>
      </w:pPr>
      <w:r w:rsidRPr="006602B7">
        <w:rPr>
          <w:rFonts w:ascii="Arial" w:hAnsi="Arial" w:cs="Arial"/>
          <w:b/>
        </w:rPr>
        <w:t xml:space="preserve">Worksheet 305 – </w:t>
      </w:r>
      <w:r w:rsidR="006602B7" w:rsidRPr="006602B7">
        <w:rPr>
          <w:rFonts w:ascii="Arial" w:hAnsi="Arial" w:cs="Arial"/>
          <w:b/>
        </w:rPr>
        <w:t>Compensated absences:</w:t>
      </w:r>
      <w:r w:rsidR="006602B7">
        <w:rPr>
          <w:rFonts w:ascii="Arial" w:hAnsi="Arial" w:cs="Arial"/>
        </w:rPr>
        <w:t xml:space="preserve"> </w:t>
      </w:r>
      <w:r>
        <w:rPr>
          <w:rFonts w:ascii="Arial" w:hAnsi="Arial" w:cs="Arial"/>
        </w:rPr>
        <w:t xml:space="preserve">The compensated absences line only needs to be completed by General Assembly. For all other governmental agencies, compensated absences </w:t>
      </w:r>
      <w:r w:rsidR="001C3C1B">
        <w:rPr>
          <w:rFonts w:ascii="Arial" w:hAnsi="Arial" w:cs="Arial"/>
        </w:rPr>
        <w:t xml:space="preserve">will be </w:t>
      </w:r>
      <w:r>
        <w:rPr>
          <w:rFonts w:ascii="Arial" w:hAnsi="Arial" w:cs="Arial"/>
        </w:rPr>
        <w:t>reported on a statewide basis by OSC.</w:t>
      </w:r>
      <w:r w:rsidR="006731DA">
        <w:rPr>
          <w:rFonts w:ascii="Arial" w:hAnsi="Arial" w:cs="Arial"/>
        </w:rPr>
        <w:t xml:space="preserve"> </w:t>
      </w:r>
    </w:p>
    <w:p w14:paraId="28D2D596" w14:textId="77777777" w:rsidR="003E03CF" w:rsidRDefault="003E03CF">
      <w:pPr>
        <w:rPr>
          <w:rFonts w:ascii="Arial" w:hAnsi="Arial" w:cs="Arial"/>
        </w:rPr>
      </w:pPr>
    </w:p>
    <w:p w14:paraId="3B58A4EC" w14:textId="4FCAE3EA" w:rsidR="003851E1" w:rsidRDefault="003E03CF">
      <w:pPr>
        <w:rPr>
          <w:rFonts w:ascii="Arial" w:hAnsi="Arial" w:cs="Arial"/>
        </w:rPr>
      </w:pPr>
      <w:r w:rsidRPr="006602B7">
        <w:rPr>
          <w:rFonts w:ascii="Arial" w:hAnsi="Arial" w:cs="Arial"/>
          <w:b/>
        </w:rPr>
        <w:t xml:space="preserve">Worksheet 305 (General Assembly only) and 310 – </w:t>
      </w:r>
      <w:r w:rsidR="006602B7" w:rsidRPr="006602B7">
        <w:rPr>
          <w:rFonts w:ascii="Arial" w:hAnsi="Arial" w:cs="Arial"/>
          <w:b/>
        </w:rPr>
        <w:t>Compensated absences:</w:t>
      </w:r>
      <w:r w:rsidR="006602B7">
        <w:rPr>
          <w:rFonts w:ascii="Arial" w:hAnsi="Arial" w:cs="Arial"/>
        </w:rPr>
        <w:t xml:space="preserve"> </w:t>
      </w:r>
      <w:r w:rsidR="003851E1">
        <w:rPr>
          <w:rFonts w:ascii="Arial" w:hAnsi="Arial" w:cs="Arial"/>
        </w:rPr>
        <w:t>For compensated absences, any difference between the beginning balance on the Changes in Long-</w:t>
      </w:r>
      <w:r w:rsidR="0057416B">
        <w:rPr>
          <w:rFonts w:ascii="Arial" w:hAnsi="Arial" w:cs="Arial"/>
        </w:rPr>
        <w:t>T</w:t>
      </w:r>
      <w:r w:rsidR="003851E1">
        <w:rPr>
          <w:rFonts w:ascii="Arial" w:hAnsi="Arial" w:cs="Arial"/>
        </w:rPr>
        <w:t xml:space="preserve">erm Liabilities worksheet and the beginning balances on the compensated absences report </w:t>
      </w:r>
      <w:r w:rsidR="005D2634">
        <w:rPr>
          <w:rFonts w:ascii="Arial" w:hAnsi="Arial" w:cs="Arial"/>
        </w:rPr>
        <w:t xml:space="preserve">that are not errors </w:t>
      </w:r>
      <w:r w:rsidR="00DB4AD7">
        <w:rPr>
          <w:rFonts w:ascii="Arial" w:hAnsi="Arial" w:cs="Arial"/>
        </w:rPr>
        <w:t xml:space="preserve">or fund reclassifications </w:t>
      </w:r>
      <w:r w:rsidR="005D2634">
        <w:rPr>
          <w:rFonts w:ascii="Arial" w:hAnsi="Arial" w:cs="Arial"/>
        </w:rPr>
        <w:t xml:space="preserve">but are due to employees </w:t>
      </w:r>
      <w:r w:rsidR="00BC5985">
        <w:rPr>
          <w:rFonts w:ascii="Arial" w:hAnsi="Arial" w:cs="Arial"/>
        </w:rPr>
        <w:t>that have transferred</w:t>
      </w:r>
      <w:r w:rsidR="005D2634">
        <w:rPr>
          <w:rFonts w:ascii="Arial" w:hAnsi="Arial" w:cs="Arial"/>
        </w:rPr>
        <w:t xml:space="preserve"> to another agency</w:t>
      </w:r>
      <w:r w:rsidR="0028144D">
        <w:rPr>
          <w:rFonts w:ascii="Arial" w:hAnsi="Arial" w:cs="Arial"/>
        </w:rPr>
        <w:t xml:space="preserve">, </w:t>
      </w:r>
      <w:r w:rsidR="00693666">
        <w:rPr>
          <w:rFonts w:ascii="Arial" w:hAnsi="Arial" w:cs="Arial"/>
        </w:rPr>
        <w:t xml:space="preserve">retirements, separations and </w:t>
      </w:r>
      <w:r w:rsidR="005D2634">
        <w:rPr>
          <w:rFonts w:ascii="Arial" w:hAnsi="Arial" w:cs="Arial"/>
        </w:rPr>
        <w:t>should be included in the “Deletions” column (not the “Prior Year Adjustments” column).</w:t>
      </w:r>
    </w:p>
    <w:p w14:paraId="00011BA2" w14:textId="1B138EAF" w:rsidR="007B2A5E" w:rsidRDefault="007B2A5E">
      <w:pPr>
        <w:rPr>
          <w:rFonts w:ascii="Arial" w:hAnsi="Arial" w:cs="Arial"/>
        </w:rPr>
      </w:pPr>
      <w:r w:rsidRPr="007B2A5E">
        <w:rPr>
          <w:rFonts w:ascii="Arial" w:hAnsi="Arial" w:cs="Arial"/>
          <w:b/>
          <w:bCs/>
          <w:color w:val="FF0000"/>
        </w:rPr>
        <w:t>NEW FY25:</w:t>
      </w:r>
      <w:r w:rsidRPr="007B2A5E">
        <w:rPr>
          <w:rFonts w:ascii="Arial" w:hAnsi="Arial" w:cs="Arial"/>
          <w:color w:val="FF0000"/>
        </w:rPr>
        <w:t xml:space="preserve"> Effective FY25, GASB 101 requires the change in the liability for compensated absences to be presented as either (1) the separate increases and decreases or </w:t>
      </w:r>
      <w:r w:rsidRPr="001C7F7D">
        <w:rPr>
          <w:rFonts w:ascii="Arial" w:hAnsi="Arial" w:cs="Arial"/>
          <w:b/>
          <w:bCs/>
          <w:color w:val="FF0000"/>
        </w:rPr>
        <w:t>(2) a net increase or a net decrease.</w:t>
      </w:r>
      <w:r w:rsidR="00321A3B">
        <w:rPr>
          <w:rFonts w:ascii="Arial" w:hAnsi="Arial" w:cs="Arial"/>
          <w:color w:val="FF0000"/>
        </w:rPr>
        <w:t xml:space="preserve"> Please answer </w:t>
      </w:r>
      <w:r w:rsidR="001C7F7D">
        <w:rPr>
          <w:rFonts w:ascii="Arial" w:hAnsi="Arial" w:cs="Arial"/>
          <w:color w:val="FF0000"/>
        </w:rPr>
        <w:t>a question</w:t>
      </w:r>
      <w:r w:rsidR="00321A3B">
        <w:rPr>
          <w:rFonts w:ascii="Arial" w:hAnsi="Arial" w:cs="Arial"/>
          <w:color w:val="FF0000"/>
        </w:rPr>
        <w:t xml:space="preserve"> at the bottom of the worksheet</w:t>
      </w:r>
      <w:r w:rsidR="0080504A">
        <w:rPr>
          <w:rFonts w:ascii="Arial" w:hAnsi="Arial" w:cs="Arial"/>
          <w:color w:val="FF0000"/>
        </w:rPr>
        <w:t xml:space="preserve"> 305 (General Assembly only) and 310</w:t>
      </w:r>
      <w:r w:rsidR="00321A3B">
        <w:rPr>
          <w:rFonts w:ascii="Arial" w:hAnsi="Arial" w:cs="Arial"/>
          <w:color w:val="FF0000"/>
        </w:rPr>
        <w:t xml:space="preserve"> to indicate </w:t>
      </w:r>
      <w:r w:rsidR="0080504A">
        <w:rPr>
          <w:rFonts w:ascii="Arial" w:hAnsi="Arial" w:cs="Arial"/>
          <w:color w:val="FF0000"/>
        </w:rPr>
        <w:t>whether the change</w:t>
      </w:r>
      <w:r w:rsidR="00522521">
        <w:rPr>
          <w:rFonts w:ascii="Arial" w:hAnsi="Arial" w:cs="Arial"/>
          <w:color w:val="FF0000"/>
        </w:rPr>
        <w:t xml:space="preserve"> in the </w:t>
      </w:r>
      <w:r w:rsidR="00A865C8">
        <w:rPr>
          <w:rFonts w:ascii="Arial" w:hAnsi="Arial" w:cs="Arial"/>
          <w:color w:val="FF0000"/>
        </w:rPr>
        <w:t xml:space="preserve">liability for </w:t>
      </w:r>
      <w:r w:rsidR="00EC0728">
        <w:rPr>
          <w:rFonts w:ascii="Arial" w:hAnsi="Arial" w:cs="Arial"/>
          <w:color w:val="FF0000"/>
        </w:rPr>
        <w:t xml:space="preserve">compensated absences </w:t>
      </w:r>
      <w:r w:rsidR="0080504A">
        <w:rPr>
          <w:rFonts w:ascii="Arial" w:hAnsi="Arial" w:cs="Arial"/>
          <w:color w:val="FF0000"/>
        </w:rPr>
        <w:t xml:space="preserve">is presented as a net change. </w:t>
      </w:r>
    </w:p>
    <w:p w14:paraId="3596619F" w14:textId="652BF3E4" w:rsidR="00DB511B" w:rsidRDefault="00DB511B">
      <w:pPr>
        <w:rPr>
          <w:rFonts w:ascii="Arial" w:hAnsi="Arial" w:cs="Arial"/>
        </w:rPr>
      </w:pPr>
    </w:p>
    <w:p w14:paraId="62385794" w14:textId="09B9B9E7" w:rsidR="00DB511B" w:rsidRPr="00DB511B" w:rsidRDefault="00DB511B">
      <w:pPr>
        <w:rPr>
          <w:rFonts w:ascii="Arial" w:hAnsi="Arial"/>
          <w:bCs/>
        </w:rPr>
      </w:pPr>
      <w:r w:rsidRPr="006602B7">
        <w:rPr>
          <w:rFonts w:ascii="Arial" w:hAnsi="Arial" w:cs="Arial"/>
          <w:b/>
        </w:rPr>
        <w:t xml:space="preserve">Worksheet 305 and 310 – </w:t>
      </w:r>
      <w:r>
        <w:rPr>
          <w:rFonts w:ascii="Arial" w:hAnsi="Arial" w:cs="Arial"/>
          <w:b/>
        </w:rPr>
        <w:t>Other</w:t>
      </w:r>
      <w:r w:rsidRPr="006602B7">
        <w:rPr>
          <w:rFonts w:ascii="Arial" w:hAnsi="Arial" w:cs="Arial"/>
          <w:b/>
        </w:rPr>
        <w:t>:</w:t>
      </w:r>
      <w:r>
        <w:rPr>
          <w:rFonts w:ascii="Arial" w:hAnsi="Arial" w:cs="Arial"/>
          <w:b/>
        </w:rPr>
        <w:t xml:space="preserve">  </w:t>
      </w:r>
      <w:r>
        <w:rPr>
          <w:rFonts w:ascii="Arial" w:hAnsi="Arial" w:cs="Arial"/>
          <w:bCs/>
        </w:rPr>
        <w:t>If a long-term liability caption is needed and is not provided, contact OSC to determine if it can be classified with another liability or if a new caption is required.</w:t>
      </w:r>
    </w:p>
    <w:p w14:paraId="52BBCBDF" w14:textId="77777777" w:rsidR="004E46A3" w:rsidRDefault="004E46A3">
      <w:pPr>
        <w:pStyle w:val="Heading3"/>
        <w:spacing w:line="240" w:lineRule="auto"/>
        <w:jc w:val="left"/>
        <w:rPr>
          <w:rFonts w:ascii="Arial" w:hAnsi="Arial"/>
          <w:sz w:val="20"/>
          <w:u w:val="single"/>
        </w:rPr>
      </w:pPr>
    </w:p>
    <w:p w14:paraId="0989178F" w14:textId="7BA12F44" w:rsidR="006E1752" w:rsidRDefault="006E1752" w:rsidP="006E1752">
      <w:pPr>
        <w:rPr>
          <w:rFonts w:ascii="Arial" w:hAnsi="Arial" w:cs="Arial"/>
        </w:rPr>
      </w:pPr>
      <w:r w:rsidRPr="00A56549">
        <w:rPr>
          <w:rFonts w:ascii="Arial" w:hAnsi="Arial" w:cs="Arial"/>
          <w:b/>
        </w:rPr>
        <w:t xml:space="preserve">Worksheet </w:t>
      </w:r>
      <w:r w:rsidR="00A56549" w:rsidRPr="00A56549">
        <w:rPr>
          <w:rFonts w:ascii="Arial" w:hAnsi="Arial" w:cs="Arial"/>
          <w:b/>
        </w:rPr>
        <w:t xml:space="preserve">305 and </w:t>
      </w:r>
      <w:r w:rsidRPr="00A56549">
        <w:rPr>
          <w:rFonts w:ascii="Arial" w:hAnsi="Arial" w:cs="Arial"/>
          <w:b/>
        </w:rPr>
        <w:t xml:space="preserve">310 </w:t>
      </w:r>
      <w:r w:rsidR="00A56549" w:rsidRPr="00A56549">
        <w:rPr>
          <w:rFonts w:ascii="Arial" w:hAnsi="Arial" w:cs="Arial"/>
          <w:b/>
        </w:rPr>
        <w:t>–</w:t>
      </w:r>
      <w:r w:rsidRPr="00A56549">
        <w:rPr>
          <w:rFonts w:ascii="Arial" w:hAnsi="Arial" w:cs="Arial"/>
          <w:b/>
        </w:rPr>
        <w:t xml:space="preserve"> </w:t>
      </w:r>
      <w:r w:rsidR="00A56549" w:rsidRPr="00A56549">
        <w:rPr>
          <w:rFonts w:ascii="Arial" w:hAnsi="Arial" w:cs="Arial"/>
          <w:b/>
        </w:rPr>
        <w:t>Short-term debt portion:</w:t>
      </w:r>
      <w:r w:rsidR="00A56549">
        <w:rPr>
          <w:rFonts w:ascii="Arial" w:hAnsi="Arial" w:cs="Arial"/>
        </w:rPr>
        <w:t xml:space="preserve">  Include any short-term debt activity for the current fiscal year. </w:t>
      </w:r>
      <w:r w:rsidR="00B44687">
        <w:rPr>
          <w:rFonts w:ascii="Arial" w:hAnsi="Arial" w:cs="Arial"/>
        </w:rPr>
        <w:t>D</w:t>
      </w:r>
      <w:r w:rsidR="00B44687" w:rsidRPr="00B44687">
        <w:rPr>
          <w:rFonts w:ascii="Arial" w:hAnsi="Arial" w:cs="Arial"/>
        </w:rPr>
        <w:t xml:space="preserve">isclosures regarding direct borrowings and direct placements of debt </w:t>
      </w:r>
      <w:r w:rsidR="00B44687">
        <w:rPr>
          <w:rFonts w:ascii="Arial" w:hAnsi="Arial" w:cs="Arial"/>
        </w:rPr>
        <w:t xml:space="preserve">should be separated </w:t>
      </w:r>
      <w:r w:rsidR="00B44687" w:rsidRPr="00B44687">
        <w:rPr>
          <w:rFonts w:ascii="Arial" w:hAnsi="Arial" w:cs="Arial"/>
        </w:rPr>
        <w:t>from other debt.</w:t>
      </w:r>
      <w:r w:rsidR="00B44687">
        <w:t xml:space="preserve"> </w:t>
      </w:r>
      <w:r w:rsidR="00A56549">
        <w:rPr>
          <w:rFonts w:ascii="Arial" w:hAnsi="Arial" w:cs="Arial"/>
        </w:rPr>
        <w:t xml:space="preserve">For each type of short-term debt, describe the debt activity and the purpose for which the debt was issued on the appropriate </w:t>
      </w:r>
      <w:r w:rsidR="009E6AD3">
        <w:rPr>
          <w:rFonts w:ascii="Arial" w:hAnsi="Arial" w:cs="Arial"/>
        </w:rPr>
        <w:t>A</w:t>
      </w:r>
      <w:r w:rsidR="000271D6">
        <w:rPr>
          <w:rFonts w:ascii="Arial" w:hAnsi="Arial" w:cs="Arial"/>
        </w:rPr>
        <w:t>CFR</w:t>
      </w:r>
      <w:r w:rsidR="00A56549">
        <w:rPr>
          <w:rFonts w:ascii="Arial" w:hAnsi="Arial" w:cs="Arial"/>
        </w:rPr>
        <w:t xml:space="preserve"> package narrative worksheet.</w:t>
      </w:r>
    </w:p>
    <w:p w14:paraId="6B5991DA" w14:textId="77777777" w:rsidR="008D2C1E" w:rsidRPr="006E1752" w:rsidRDefault="008D2C1E" w:rsidP="006E1752">
      <w:pPr>
        <w:rPr>
          <w:rFonts w:ascii="Arial" w:hAnsi="Arial" w:cs="Arial"/>
        </w:rPr>
      </w:pPr>
    </w:p>
    <w:p w14:paraId="663D4E48" w14:textId="77777777" w:rsidR="004E46A3" w:rsidRDefault="004E46A3">
      <w:pPr>
        <w:pStyle w:val="Heading3"/>
        <w:spacing w:line="240" w:lineRule="auto"/>
        <w:jc w:val="left"/>
        <w:rPr>
          <w:rFonts w:ascii="Arial" w:hAnsi="Arial"/>
          <w:u w:val="single"/>
        </w:rPr>
      </w:pPr>
      <w:r>
        <w:rPr>
          <w:rFonts w:ascii="Arial" w:hAnsi="Arial"/>
          <w:u w:val="single"/>
        </w:rPr>
        <w:t>Annual Debt Service Requirement</w:t>
      </w:r>
      <w:r w:rsidR="00FE176A">
        <w:rPr>
          <w:rFonts w:ascii="Arial" w:hAnsi="Arial"/>
          <w:u w:val="single"/>
          <w:lang w:val="en-US"/>
        </w:rPr>
        <w:t>s</w:t>
      </w:r>
      <w:r>
        <w:rPr>
          <w:rFonts w:ascii="Arial" w:hAnsi="Arial"/>
          <w:u w:val="single"/>
        </w:rPr>
        <w:t xml:space="preserve"> (</w:t>
      </w:r>
      <w:r>
        <w:rPr>
          <w:rFonts w:ascii="Arial" w:hAnsi="Arial"/>
          <w:smallCaps w:val="0"/>
          <w:u w:val="single"/>
        </w:rPr>
        <w:t>315-320</w:t>
      </w:r>
      <w:r>
        <w:rPr>
          <w:rFonts w:ascii="Arial" w:hAnsi="Arial"/>
          <w:u w:val="single"/>
        </w:rPr>
        <w:t>)</w:t>
      </w:r>
    </w:p>
    <w:p w14:paraId="58F1042F" w14:textId="77777777" w:rsidR="004E46A3" w:rsidRDefault="004E46A3"/>
    <w:p w14:paraId="313A6BB9" w14:textId="4817850A" w:rsidR="00D414AA" w:rsidRPr="00CF4E54" w:rsidRDefault="00E20B3B" w:rsidP="00E20B3B">
      <w:pPr>
        <w:rPr>
          <w:rFonts w:ascii="Arial" w:hAnsi="Arial"/>
        </w:rPr>
      </w:pPr>
      <w:r w:rsidRPr="00083C4E">
        <w:rPr>
          <w:rFonts w:ascii="Arial" w:hAnsi="Arial"/>
        </w:rPr>
        <w:lastRenderedPageBreak/>
        <w:t xml:space="preserve">For note disclosure purposes, GASB </w:t>
      </w:r>
      <w:r w:rsidR="00721307">
        <w:rPr>
          <w:rFonts w:ascii="Arial" w:hAnsi="Arial"/>
        </w:rPr>
        <w:t xml:space="preserve">Statement </w:t>
      </w:r>
      <w:r w:rsidRPr="00083C4E">
        <w:rPr>
          <w:rFonts w:ascii="Arial" w:hAnsi="Arial"/>
        </w:rPr>
        <w:t>88 defines debt as a liability that arises from a contractual obligation to pay cash (or other assets that may be used in lieu of cash) in one or more payments to settle an amount that is fixed at the date the contractual obligation is established. Exceptions include leases</w:t>
      </w:r>
      <w:r w:rsidR="00052978">
        <w:rPr>
          <w:rFonts w:ascii="Arial" w:hAnsi="Arial"/>
        </w:rPr>
        <w:t>, SBITAs,</w:t>
      </w:r>
      <w:r w:rsidRPr="00083C4E">
        <w:rPr>
          <w:rFonts w:ascii="Arial" w:hAnsi="Arial"/>
        </w:rPr>
        <w:t xml:space="preserve"> and accounts payable. </w:t>
      </w:r>
      <w:r w:rsidR="008C584C" w:rsidRPr="00083C4E">
        <w:rPr>
          <w:rFonts w:ascii="Arial" w:hAnsi="Arial"/>
        </w:rPr>
        <w:t xml:space="preserve">Note disclosures for direct borrowings and direct placements of debt should be separated from other debt. </w:t>
      </w:r>
      <w:r w:rsidRPr="00083C4E">
        <w:rPr>
          <w:rFonts w:ascii="Arial" w:hAnsi="Arial"/>
        </w:rPr>
        <w:t xml:space="preserve">See the </w:t>
      </w:r>
      <w:hyperlink r:id="rId21" w:history="1">
        <w:r w:rsidR="00E70123" w:rsidRPr="00083C4E">
          <w:rPr>
            <w:rStyle w:val="Hyperlink"/>
            <w:rFonts w:ascii="Arial" w:hAnsi="Arial"/>
          </w:rPr>
          <w:t>GASB 88 Financial Reporting Update</w:t>
        </w:r>
      </w:hyperlink>
      <w:r w:rsidR="00E86B66" w:rsidRPr="00083C4E">
        <w:rPr>
          <w:rFonts w:ascii="Arial" w:hAnsi="Arial"/>
        </w:rPr>
        <w:t xml:space="preserve"> for more information.</w:t>
      </w:r>
    </w:p>
    <w:p w14:paraId="68BCD52B" w14:textId="6ACB3C50" w:rsidR="00070128" w:rsidRDefault="00070128">
      <w:pPr>
        <w:rPr>
          <w:rFonts w:ascii="Arial" w:hAnsi="Arial" w:cs="Arial"/>
        </w:rPr>
      </w:pPr>
    </w:p>
    <w:p w14:paraId="17E8F129" w14:textId="7F2926A7" w:rsidR="004E46A3" w:rsidRDefault="004E46A3">
      <w:pPr>
        <w:rPr>
          <w:rFonts w:ascii="Arial" w:hAnsi="Arial" w:cs="Arial"/>
        </w:rPr>
      </w:pPr>
      <w:r w:rsidRPr="006E1752">
        <w:rPr>
          <w:rFonts w:ascii="Arial" w:hAnsi="Arial" w:cs="Arial"/>
        </w:rPr>
        <w:t>Information to complete this worksheet should be obtained from the amortization schedule</w:t>
      </w:r>
      <w:r w:rsidR="003E7C7F">
        <w:rPr>
          <w:rFonts w:ascii="Arial" w:hAnsi="Arial" w:cs="Arial"/>
        </w:rPr>
        <w:t xml:space="preserve"> for the related debt.  A separate worksheet should be completed for e</w:t>
      </w:r>
      <w:r w:rsidRPr="006E1752">
        <w:rPr>
          <w:rFonts w:ascii="Arial" w:hAnsi="Arial" w:cs="Arial"/>
        </w:rPr>
        <w:t xml:space="preserve">ach type of </w:t>
      </w:r>
      <w:r w:rsidR="00B33968">
        <w:rPr>
          <w:rFonts w:ascii="Arial" w:hAnsi="Arial" w:cs="Arial"/>
        </w:rPr>
        <w:t>payable</w:t>
      </w:r>
      <w:r w:rsidR="003E7C7F">
        <w:rPr>
          <w:rFonts w:ascii="Arial" w:hAnsi="Arial" w:cs="Arial"/>
        </w:rPr>
        <w:t xml:space="preserve"> (e.g., bonds,</w:t>
      </w:r>
      <w:r w:rsidRPr="006E1752">
        <w:rPr>
          <w:rFonts w:ascii="Arial" w:hAnsi="Arial" w:cs="Arial"/>
        </w:rPr>
        <w:t xml:space="preserve"> </w:t>
      </w:r>
      <w:r w:rsidR="00BD4CC9">
        <w:rPr>
          <w:rFonts w:ascii="Arial" w:hAnsi="Arial" w:cs="Arial"/>
        </w:rPr>
        <w:t>special indebtedness</w:t>
      </w:r>
      <w:r w:rsidR="003E7C7F" w:rsidRPr="00083C4E">
        <w:rPr>
          <w:rFonts w:ascii="Arial" w:hAnsi="Arial" w:cs="Arial"/>
        </w:rPr>
        <w:t>,</w:t>
      </w:r>
      <w:r w:rsidR="00FF4D49">
        <w:rPr>
          <w:rFonts w:ascii="Arial" w:hAnsi="Arial" w:cs="Arial"/>
        </w:rPr>
        <w:t xml:space="preserve"> notes from direct borrowings, or direct placements</w:t>
      </w:r>
      <w:r w:rsidR="003E7C7F">
        <w:rPr>
          <w:rFonts w:ascii="Arial" w:hAnsi="Arial" w:cs="Arial"/>
        </w:rPr>
        <w:t>)</w:t>
      </w:r>
      <w:r w:rsidRPr="006E1752">
        <w:rPr>
          <w:rFonts w:ascii="Arial" w:hAnsi="Arial" w:cs="Arial"/>
        </w:rPr>
        <w:t>.</w:t>
      </w:r>
      <w:r w:rsidR="00D619F0">
        <w:rPr>
          <w:rFonts w:ascii="Arial" w:hAnsi="Arial" w:cs="Arial"/>
        </w:rPr>
        <w:t xml:space="preserve"> </w:t>
      </w:r>
      <w:r w:rsidR="003D6699">
        <w:rPr>
          <w:rFonts w:ascii="Arial" w:hAnsi="Arial" w:cs="Arial"/>
        </w:rPr>
        <w:t xml:space="preserve">See </w:t>
      </w:r>
      <w:r w:rsidR="00D048DD">
        <w:rPr>
          <w:rFonts w:ascii="Arial" w:hAnsi="Arial" w:cs="Arial"/>
        </w:rPr>
        <w:t xml:space="preserve">additional information for notes from direct borrowings and direct placements in the instructions for the 305/310 worksheets. </w:t>
      </w:r>
      <w:r w:rsidR="00D619F0">
        <w:rPr>
          <w:rFonts w:ascii="Arial" w:hAnsi="Arial" w:cs="Arial"/>
        </w:rPr>
        <w:t xml:space="preserve">Short-term debt (line of credit, commercial paper, </w:t>
      </w:r>
      <w:r w:rsidR="00D46C23">
        <w:rPr>
          <w:rFonts w:ascii="Arial" w:hAnsi="Arial" w:cs="Arial"/>
        </w:rPr>
        <w:t xml:space="preserve">notes from direct borrowings, </w:t>
      </w:r>
      <w:r w:rsidR="00115B8B">
        <w:rPr>
          <w:rFonts w:ascii="Arial" w:hAnsi="Arial" w:cs="Arial"/>
        </w:rPr>
        <w:t>d</w:t>
      </w:r>
      <w:r w:rsidR="00D46C23">
        <w:rPr>
          <w:rFonts w:ascii="Arial" w:hAnsi="Arial" w:cs="Arial"/>
        </w:rPr>
        <w:t xml:space="preserve">irect placements, </w:t>
      </w:r>
      <w:r w:rsidR="00D619F0">
        <w:rPr>
          <w:rFonts w:ascii="Arial" w:hAnsi="Arial" w:cs="Arial"/>
        </w:rPr>
        <w:t xml:space="preserve">anticipation </w:t>
      </w:r>
      <w:proofErr w:type="gramStart"/>
      <w:r w:rsidR="00D619F0">
        <w:rPr>
          <w:rFonts w:ascii="Arial" w:hAnsi="Arial" w:cs="Arial"/>
        </w:rPr>
        <w:t>note</w:t>
      </w:r>
      <w:proofErr w:type="gramEnd"/>
      <w:r w:rsidR="00D619F0">
        <w:rPr>
          <w:rFonts w:ascii="Arial" w:hAnsi="Arial" w:cs="Arial"/>
        </w:rPr>
        <w:t>) should be excluded from this worksheet.</w:t>
      </w:r>
    </w:p>
    <w:p w14:paraId="5E786B10" w14:textId="77777777" w:rsidR="00C106B1" w:rsidRPr="006E1752" w:rsidRDefault="00C106B1">
      <w:pPr>
        <w:rPr>
          <w:rFonts w:ascii="Arial" w:hAnsi="Arial" w:cs="Arial"/>
        </w:rPr>
      </w:pPr>
    </w:p>
    <w:p w14:paraId="4CB0355B" w14:textId="4ECFED19" w:rsidR="00C106B1" w:rsidRDefault="00110DE5" w:rsidP="003F2400">
      <w:pPr>
        <w:rPr>
          <w:rFonts w:ascii="Arial" w:hAnsi="Arial" w:cs="Arial"/>
        </w:rPr>
      </w:pPr>
      <w:r w:rsidRPr="006E1752">
        <w:rPr>
          <w:rFonts w:ascii="Arial" w:hAnsi="Arial" w:cs="Arial"/>
        </w:rPr>
        <w:t xml:space="preserve">Interest requirements for variable rate debt should be determined using the rate in effect </w:t>
      </w:r>
      <w:proofErr w:type="gramStart"/>
      <w:r w:rsidRPr="006E1752">
        <w:rPr>
          <w:rFonts w:ascii="Arial" w:hAnsi="Arial" w:cs="Arial"/>
        </w:rPr>
        <w:t>at</w:t>
      </w:r>
      <w:proofErr w:type="gramEnd"/>
      <w:r w:rsidRPr="006E1752">
        <w:rPr>
          <w:rFonts w:ascii="Arial" w:hAnsi="Arial" w:cs="Arial"/>
        </w:rPr>
        <w:t xml:space="preserve"> June 30, </w:t>
      </w:r>
      <w:r w:rsidR="00611984" w:rsidRPr="2B835493">
        <w:rPr>
          <w:rFonts w:ascii="Arial" w:hAnsi="Arial" w:cs="Arial"/>
        </w:rPr>
        <w:t>20</w:t>
      </w:r>
      <w:r w:rsidR="00083C4E" w:rsidRPr="2B835493">
        <w:rPr>
          <w:rFonts w:ascii="Arial" w:hAnsi="Arial" w:cs="Arial"/>
        </w:rPr>
        <w:t>2</w:t>
      </w:r>
      <w:r w:rsidR="00C62E31">
        <w:rPr>
          <w:rFonts w:ascii="Arial" w:hAnsi="Arial" w:cs="Arial"/>
        </w:rPr>
        <w:t>5</w:t>
      </w:r>
      <w:r w:rsidRPr="006E1752">
        <w:rPr>
          <w:rFonts w:ascii="Arial" w:hAnsi="Arial" w:cs="Arial"/>
        </w:rPr>
        <w:t>.</w:t>
      </w:r>
      <w:r w:rsidR="00227ABF">
        <w:rPr>
          <w:rFonts w:ascii="Arial" w:hAnsi="Arial" w:cs="Arial"/>
        </w:rPr>
        <w:t xml:space="preserve"> </w:t>
      </w:r>
    </w:p>
    <w:p w14:paraId="1EFBB728" w14:textId="77777777" w:rsidR="00C106B1" w:rsidRDefault="00C106B1" w:rsidP="003F2400">
      <w:pPr>
        <w:rPr>
          <w:rFonts w:ascii="Arial" w:hAnsi="Arial" w:cs="Arial"/>
        </w:rPr>
      </w:pPr>
    </w:p>
    <w:p w14:paraId="66631482" w14:textId="0E0C6230" w:rsidR="00F60668" w:rsidRDefault="00F60668" w:rsidP="003F2400">
      <w:pPr>
        <w:rPr>
          <w:rFonts w:ascii="Arial" w:hAnsi="Arial" w:cs="Arial"/>
        </w:rPr>
      </w:pPr>
      <w:r w:rsidRPr="00F62634">
        <w:rPr>
          <w:rFonts w:ascii="Arial" w:hAnsi="Arial" w:cs="Arial"/>
        </w:rPr>
        <w:t xml:space="preserve">The </w:t>
      </w:r>
      <w:r w:rsidRPr="00F62634">
        <w:rPr>
          <w:rFonts w:ascii="Arial" w:hAnsi="Arial" w:cs="Arial"/>
          <w:b/>
        </w:rPr>
        <w:t>FCCS Entity</w:t>
      </w:r>
      <w:r w:rsidRPr="00F62634">
        <w:rPr>
          <w:rFonts w:ascii="Arial" w:hAnsi="Arial" w:cs="Arial"/>
        </w:rPr>
        <w:t xml:space="preserve"> drop down box must be completed</w:t>
      </w:r>
      <w:r>
        <w:rPr>
          <w:rFonts w:ascii="Arial" w:hAnsi="Arial" w:cs="Arial"/>
        </w:rPr>
        <w:t>. Governmental Funds and Internal Service Funds should select “</w:t>
      </w:r>
      <w:proofErr w:type="spellStart"/>
      <w:r>
        <w:rPr>
          <w:rFonts w:ascii="Arial" w:hAnsi="Arial" w:cs="Arial"/>
        </w:rPr>
        <w:t>GovtAct</w:t>
      </w:r>
      <w:proofErr w:type="spellEnd"/>
      <w:r>
        <w:rPr>
          <w:rFonts w:ascii="Arial" w:hAnsi="Arial" w:cs="Arial"/>
        </w:rPr>
        <w:t>”. Enterprise Funds and Universities should select “</w:t>
      </w:r>
      <w:proofErr w:type="spellStart"/>
      <w:r>
        <w:rPr>
          <w:rFonts w:ascii="Arial" w:hAnsi="Arial" w:cs="Arial"/>
        </w:rPr>
        <w:t>BTAAct</w:t>
      </w:r>
      <w:proofErr w:type="spellEnd"/>
      <w:r>
        <w:rPr>
          <w:rFonts w:ascii="Arial" w:hAnsi="Arial" w:cs="Arial"/>
        </w:rPr>
        <w:t xml:space="preserve">”. </w:t>
      </w:r>
    </w:p>
    <w:p w14:paraId="38BB8A2F" w14:textId="77777777" w:rsidR="00F60668" w:rsidRDefault="00F60668" w:rsidP="003F2400">
      <w:pPr>
        <w:rPr>
          <w:rFonts w:ascii="Arial" w:hAnsi="Arial" w:cs="Arial"/>
        </w:rPr>
      </w:pPr>
    </w:p>
    <w:p w14:paraId="39AE3DDE" w14:textId="02169E17" w:rsidR="00110DE5" w:rsidRDefault="00C106B1" w:rsidP="003F2400">
      <w:pPr>
        <w:rPr>
          <w:rFonts w:ascii="Arial" w:hAnsi="Arial" w:cs="Arial"/>
        </w:rPr>
      </w:pPr>
      <w:r>
        <w:rPr>
          <w:rFonts w:ascii="Arial" w:hAnsi="Arial" w:cs="Arial"/>
        </w:rPr>
        <w:t>F</w:t>
      </w:r>
      <w:r w:rsidR="00227ABF">
        <w:rPr>
          <w:rFonts w:ascii="Arial" w:hAnsi="Arial" w:cs="Arial"/>
        </w:rPr>
        <w:t>or Build America Bonds</w:t>
      </w:r>
      <w:r w:rsidR="00C33CF0">
        <w:rPr>
          <w:rFonts w:ascii="Arial" w:hAnsi="Arial" w:cs="Arial"/>
        </w:rPr>
        <w:t xml:space="preserve"> (BABs)</w:t>
      </w:r>
      <w:r>
        <w:rPr>
          <w:rFonts w:ascii="Arial" w:hAnsi="Arial" w:cs="Arial"/>
        </w:rPr>
        <w:t>, the interest requirements</w:t>
      </w:r>
      <w:r w:rsidR="00227ABF">
        <w:rPr>
          <w:rFonts w:ascii="Arial" w:hAnsi="Arial" w:cs="Arial"/>
        </w:rPr>
        <w:t xml:space="preserve"> should be determined using the taxable rate (not the effective yield, which factors in the federal interest subsidy)</w:t>
      </w:r>
      <w:r w:rsidR="00496C9B">
        <w:rPr>
          <w:rFonts w:ascii="Arial" w:hAnsi="Arial" w:cs="Arial"/>
        </w:rPr>
        <w:t>,</w:t>
      </w:r>
      <w:r w:rsidR="00227ABF">
        <w:rPr>
          <w:rFonts w:ascii="Arial" w:hAnsi="Arial" w:cs="Arial"/>
        </w:rPr>
        <w:t xml:space="preserve"> and the range of interest rates should </w:t>
      </w:r>
      <w:r>
        <w:rPr>
          <w:rFonts w:ascii="Arial" w:hAnsi="Arial" w:cs="Arial"/>
        </w:rPr>
        <w:t xml:space="preserve">only </w:t>
      </w:r>
      <w:r w:rsidR="00227ABF">
        <w:rPr>
          <w:rFonts w:ascii="Arial" w:hAnsi="Arial" w:cs="Arial"/>
        </w:rPr>
        <w:t xml:space="preserve">include the taxable rate. </w:t>
      </w:r>
      <w:r w:rsidR="00C33CF0">
        <w:rPr>
          <w:rFonts w:ascii="Arial" w:hAnsi="Arial" w:cs="Arial"/>
        </w:rPr>
        <w:t xml:space="preserve"> Additionally, </w:t>
      </w:r>
      <w:r w:rsidR="00F82BC1">
        <w:rPr>
          <w:rFonts w:ascii="Arial" w:hAnsi="Arial" w:cs="Arial"/>
        </w:rPr>
        <w:t xml:space="preserve">if </w:t>
      </w:r>
      <w:r w:rsidR="00C33CF0">
        <w:rPr>
          <w:rFonts w:ascii="Arial" w:hAnsi="Arial" w:cs="Arial"/>
        </w:rPr>
        <w:t xml:space="preserve">any BABs have been issued, </w:t>
      </w:r>
      <w:r w:rsidR="00F82BC1">
        <w:rPr>
          <w:rFonts w:ascii="Arial" w:hAnsi="Arial" w:cs="Arial"/>
        </w:rPr>
        <w:t xml:space="preserve">provide the outstanding balance </w:t>
      </w:r>
      <w:proofErr w:type="gramStart"/>
      <w:r w:rsidR="00F82BC1">
        <w:rPr>
          <w:rFonts w:ascii="Arial" w:hAnsi="Arial" w:cs="Arial"/>
        </w:rPr>
        <w:t>at</w:t>
      </w:r>
      <w:proofErr w:type="gramEnd"/>
      <w:r w:rsidR="00F82BC1">
        <w:rPr>
          <w:rFonts w:ascii="Arial" w:hAnsi="Arial" w:cs="Arial"/>
        </w:rPr>
        <w:t xml:space="preserve"> June 30 (see question at bottom of the sheet).</w:t>
      </w:r>
    </w:p>
    <w:p w14:paraId="6C883A4C" w14:textId="77777777" w:rsidR="006D3794" w:rsidRPr="006E1752" w:rsidRDefault="006D3794" w:rsidP="003F2400">
      <w:pPr>
        <w:rPr>
          <w:rFonts w:ascii="Arial" w:hAnsi="Arial" w:cs="Arial"/>
        </w:rPr>
      </w:pPr>
    </w:p>
    <w:p w14:paraId="41316ED8" w14:textId="77777777" w:rsidR="004E46A3" w:rsidRDefault="004E46A3">
      <w:pPr>
        <w:rPr>
          <w:rFonts w:ascii="Arial" w:hAnsi="Arial" w:cs="Arial"/>
        </w:rPr>
      </w:pPr>
      <w:r w:rsidRPr="006E1752">
        <w:rPr>
          <w:rFonts w:ascii="Arial" w:hAnsi="Arial" w:cs="Arial"/>
        </w:rPr>
        <w:t xml:space="preserve">The three shaded boxes on the right must be completed (original issue amount, </w:t>
      </w:r>
      <w:r w:rsidR="00021DDA">
        <w:rPr>
          <w:rFonts w:ascii="Arial" w:hAnsi="Arial" w:cs="Arial"/>
        </w:rPr>
        <w:t xml:space="preserve">range of </w:t>
      </w:r>
      <w:r w:rsidRPr="006E1752">
        <w:rPr>
          <w:rFonts w:ascii="Arial" w:hAnsi="Arial" w:cs="Arial"/>
        </w:rPr>
        <w:t xml:space="preserve">interest rates, </w:t>
      </w:r>
      <w:r w:rsidR="00021DDA">
        <w:rPr>
          <w:rFonts w:ascii="Arial" w:hAnsi="Arial" w:cs="Arial"/>
        </w:rPr>
        <w:t xml:space="preserve">and </w:t>
      </w:r>
      <w:r w:rsidRPr="006E1752">
        <w:rPr>
          <w:rFonts w:ascii="Arial" w:hAnsi="Arial" w:cs="Arial"/>
        </w:rPr>
        <w:t>final maturity date).</w:t>
      </w:r>
    </w:p>
    <w:p w14:paraId="20762A6A" w14:textId="77777777" w:rsidR="00040DF3" w:rsidRPr="006E1752" w:rsidRDefault="00040DF3">
      <w:pPr>
        <w:rPr>
          <w:rFonts w:ascii="Arial" w:hAnsi="Arial" w:cs="Arial"/>
        </w:rPr>
      </w:pPr>
    </w:p>
    <w:p w14:paraId="7045E518" w14:textId="77777777" w:rsidR="00110DE5" w:rsidRPr="006E1752" w:rsidRDefault="00B43346">
      <w:pPr>
        <w:rPr>
          <w:rFonts w:ascii="Arial" w:hAnsi="Arial" w:cs="Arial"/>
        </w:rPr>
      </w:pPr>
      <w:r w:rsidRPr="006E1752">
        <w:rPr>
          <w:rFonts w:ascii="Arial" w:hAnsi="Arial" w:cs="Arial"/>
        </w:rPr>
        <w:t>For agencies with variable rate debt, t</w:t>
      </w:r>
      <w:r w:rsidR="00110DE5" w:rsidRPr="006E1752">
        <w:rPr>
          <w:rFonts w:ascii="Arial" w:hAnsi="Arial" w:cs="Arial"/>
        </w:rPr>
        <w:t>he overall range of interest rates block should be completed as follows:</w:t>
      </w:r>
    </w:p>
    <w:p w14:paraId="4472B996" w14:textId="77777777" w:rsidR="00110DE5" w:rsidRPr="006E1752" w:rsidRDefault="00110DE5" w:rsidP="00110DE5">
      <w:pPr>
        <w:numPr>
          <w:ilvl w:val="0"/>
          <w:numId w:val="16"/>
        </w:numPr>
        <w:rPr>
          <w:rFonts w:ascii="Arial" w:hAnsi="Arial" w:cs="Arial"/>
        </w:rPr>
      </w:pPr>
      <w:r w:rsidRPr="006E1752">
        <w:rPr>
          <w:rFonts w:ascii="Arial" w:hAnsi="Arial" w:cs="Arial"/>
        </w:rPr>
        <w:t>For variable rate debt, interest rates in effect at year-end should be included in the overall range.</w:t>
      </w:r>
    </w:p>
    <w:p w14:paraId="004690AE" w14:textId="77777777" w:rsidR="00110DE5" w:rsidRDefault="00110DE5" w:rsidP="00110DE5">
      <w:pPr>
        <w:numPr>
          <w:ilvl w:val="0"/>
          <w:numId w:val="16"/>
        </w:numPr>
        <w:rPr>
          <w:rFonts w:ascii="Arial" w:hAnsi="Arial" w:cs="Arial"/>
        </w:rPr>
      </w:pPr>
      <w:r w:rsidRPr="006E1752">
        <w:rPr>
          <w:rFonts w:ascii="Arial" w:hAnsi="Arial" w:cs="Arial"/>
        </w:rPr>
        <w:t>For variable rate debt with interest rate swaps, the synthetic fixed rate should be included in the overall range.</w:t>
      </w:r>
    </w:p>
    <w:p w14:paraId="2E2906E1" w14:textId="77777777" w:rsidR="00DB6975" w:rsidRDefault="00DB6975" w:rsidP="00DB6975">
      <w:pPr>
        <w:rPr>
          <w:rFonts w:ascii="Arial" w:hAnsi="Arial" w:cs="Arial"/>
        </w:rPr>
      </w:pPr>
    </w:p>
    <w:p w14:paraId="76F9AAE5" w14:textId="77777777" w:rsidR="00DB6975" w:rsidRPr="003F1855" w:rsidRDefault="00842386" w:rsidP="003F1855">
      <w:pPr>
        <w:pStyle w:val="Heading3"/>
        <w:spacing w:line="240" w:lineRule="auto"/>
        <w:jc w:val="left"/>
        <w:rPr>
          <w:rFonts w:ascii="Arial" w:hAnsi="Arial"/>
          <w:u w:val="single"/>
        </w:rPr>
      </w:pPr>
      <w:r w:rsidRPr="003F1855">
        <w:rPr>
          <w:rFonts w:ascii="Arial" w:hAnsi="Arial"/>
          <w:u w:val="single"/>
        </w:rPr>
        <w:t>Pollution Remediation Obligations (322)</w:t>
      </w:r>
    </w:p>
    <w:p w14:paraId="631E1484" w14:textId="77777777" w:rsidR="00DB6975" w:rsidRDefault="00DB6975" w:rsidP="00DB6975">
      <w:pPr>
        <w:rPr>
          <w:rFonts w:ascii="Arial" w:hAnsi="Arial" w:cs="Arial"/>
        </w:rPr>
      </w:pPr>
    </w:p>
    <w:p w14:paraId="1405F994" w14:textId="77777777" w:rsidR="00305B11" w:rsidRDefault="003F1855" w:rsidP="00305B11">
      <w:pPr>
        <w:rPr>
          <w:rFonts w:ascii="Arial" w:hAnsi="Arial" w:cs="Arial"/>
        </w:rPr>
      </w:pPr>
      <w:r>
        <w:rPr>
          <w:rFonts w:ascii="Arial" w:hAnsi="Arial" w:cs="Arial"/>
        </w:rPr>
        <w:t xml:space="preserve">This worksheet has 3 separate sections: 1) Pollution Remediation Liability 2) Obligating Events, and 3) Capitalization Criteria.  In section 1, indicate the estimated recoveries that reduced the pollution remediation liability.  Under GASB 49, </w:t>
      </w:r>
      <w:r w:rsidR="00F36E87">
        <w:rPr>
          <w:rFonts w:ascii="Arial" w:hAnsi="Arial" w:cs="Arial"/>
        </w:rPr>
        <w:t xml:space="preserve">a government’s pollution remediation liability should be reduced by </w:t>
      </w:r>
      <w:r>
        <w:rPr>
          <w:rFonts w:ascii="Arial" w:hAnsi="Arial" w:cs="Arial"/>
        </w:rPr>
        <w:t xml:space="preserve">estimated recoveries that are not yet realized or realizable (Note: expected recoveries that are realized or realizable should be recognized separately from </w:t>
      </w:r>
      <w:proofErr w:type="gramStart"/>
      <w:r>
        <w:rPr>
          <w:rFonts w:ascii="Arial" w:hAnsi="Arial" w:cs="Arial"/>
        </w:rPr>
        <w:t>the liability as</w:t>
      </w:r>
      <w:proofErr w:type="gramEnd"/>
      <w:r>
        <w:rPr>
          <w:rFonts w:ascii="Arial" w:hAnsi="Arial" w:cs="Arial"/>
        </w:rPr>
        <w:t xml:space="preserve"> recovery assets).</w:t>
      </w:r>
      <w:r w:rsidR="00305B11">
        <w:rPr>
          <w:rFonts w:ascii="Arial" w:hAnsi="Arial" w:cs="Arial"/>
        </w:rPr>
        <w:t xml:space="preserve">  In section 2, indicate the </w:t>
      </w:r>
      <w:proofErr w:type="gramStart"/>
      <w:r w:rsidR="00305B11">
        <w:rPr>
          <w:rFonts w:ascii="Arial" w:hAnsi="Arial" w:cs="Arial"/>
        </w:rPr>
        <w:t>obligating</w:t>
      </w:r>
      <w:proofErr w:type="gramEnd"/>
      <w:r w:rsidR="00305B11">
        <w:rPr>
          <w:rFonts w:ascii="Arial" w:hAnsi="Arial" w:cs="Arial"/>
        </w:rPr>
        <w:t xml:space="preserve"> event(s) that triggered the recognition of a liability.  </w:t>
      </w:r>
      <w:r w:rsidR="00305B11" w:rsidRPr="00693993">
        <w:rPr>
          <w:rFonts w:ascii="Arial" w:hAnsi="Arial" w:cs="Arial"/>
        </w:rPr>
        <w:t xml:space="preserve">The occurrence of an obligating event is an absolute precondition for recognizing a pollution remediation liability. That is, if an </w:t>
      </w:r>
      <w:proofErr w:type="gramStart"/>
      <w:r w:rsidR="00305B11" w:rsidRPr="00693993">
        <w:rPr>
          <w:rFonts w:ascii="Arial" w:hAnsi="Arial" w:cs="Arial"/>
        </w:rPr>
        <w:t>obligating</w:t>
      </w:r>
      <w:proofErr w:type="gramEnd"/>
      <w:r w:rsidR="00305B11" w:rsidRPr="00693993">
        <w:rPr>
          <w:rFonts w:ascii="Arial" w:hAnsi="Arial" w:cs="Arial"/>
        </w:rPr>
        <w:t xml:space="preserve"> event has not occurred, then </w:t>
      </w:r>
      <w:proofErr w:type="gramStart"/>
      <w:r w:rsidR="00305B11" w:rsidRPr="00693993">
        <w:rPr>
          <w:rFonts w:ascii="Arial" w:hAnsi="Arial" w:cs="Arial"/>
        </w:rPr>
        <w:t>a liability</w:t>
      </w:r>
      <w:proofErr w:type="gramEnd"/>
      <w:r w:rsidR="00305B11" w:rsidRPr="00693993">
        <w:rPr>
          <w:rFonts w:ascii="Arial" w:hAnsi="Arial" w:cs="Arial"/>
        </w:rPr>
        <w:t xml:space="preserve"> should not be recognized in the financial statements. On the other hand, once an </w:t>
      </w:r>
      <w:proofErr w:type="gramStart"/>
      <w:r w:rsidR="00305B11" w:rsidRPr="00693993">
        <w:rPr>
          <w:rFonts w:ascii="Arial" w:hAnsi="Arial" w:cs="Arial"/>
        </w:rPr>
        <w:t>obligating</w:t>
      </w:r>
      <w:proofErr w:type="gramEnd"/>
      <w:r w:rsidR="00305B11" w:rsidRPr="00693993">
        <w:rPr>
          <w:rFonts w:ascii="Arial" w:hAnsi="Arial" w:cs="Arial"/>
        </w:rPr>
        <w:t xml:space="preserve"> event has occurred, recognition of the related liability is mandatory, assuming that is it considered to be measurable.</w:t>
      </w:r>
      <w:r w:rsidR="00424B26">
        <w:rPr>
          <w:rFonts w:ascii="Arial" w:hAnsi="Arial" w:cs="Arial"/>
        </w:rPr>
        <w:t xml:space="preserve">  If any of the pollution remediation outlays were capitalized, indicate in section </w:t>
      </w:r>
      <w:r w:rsidR="0047167D">
        <w:rPr>
          <w:rFonts w:ascii="Arial" w:hAnsi="Arial" w:cs="Arial"/>
        </w:rPr>
        <w:t>3</w:t>
      </w:r>
      <w:r w:rsidR="00424B26">
        <w:rPr>
          <w:rFonts w:ascii="Arial" w:hAnsi="Arial" w:cs="Arial"/>
        </w:rPr>
        <w:t xml:space="preserve"> the capitalization </w:t>
      </w:r>
      <w:r w:rsidR="00864C64">
        <w:rPr>
          <w:rFonts w:ascii="Arial" w:hAnsi="Arial" w:cs="Arial"/>
        </w:rPr>
        <w:t>criterion that applies</w:t>
      </w:r>
      <w:r w:rsidR="00424B26">
        <w:rPr>
          <w:rFonts w:ascii="Arial" w:hAnsi="Arial" w:cs="Arial"/>
        </w:rPr>
        <w:t>. Remediation outlays can only be capitalized in the 4 specific situations referenced in GASB 49.</w:t>
      </w:r>
    </w:p>
    <w:p w14:paraId="44444C47" w14:textId="77777777" w:rsidR="00003DA0" w:rsidRDefault="00003DA0" w:rsidP="00305B11">
      <w:pPr>
        <w:rPr>
          <w:rFonts w:ascii="Arial" w:hAnsi="Arial" w:cs="Arial"/>
        </w:rPr>
      </w:pPr>
    </w:p>
    <w:p w14:paraId="0B2F0B66" w14:textId="5047EE39" w:rsidR="00003DA0" w:rsidRPr="00693993" w:rsidRDefault="00003DA0" w:rsidP="00305B11">
      <w:pPr>
        <w:rPr>
          <w:rFonts w:ascii="Arial" w:hAnsi="Arial" w:cs="Arial"/>
        </w:rPr>
      </w:pPr>
      <w:r>
        <w:rPr>
          <w:rFonts w:ascii="Arial" w:hAnsi="Arial" w:cs="Arial"/>
        </w:rPr>
        <w:t>If this worksheet applies to your agency, you will also need</w:t>
      </w:r>
      <w:r w:rsidR="006050BC">
        <w:rPr>
          <w:rFonts w:ascii="Arial" w:hAnsi="Arial" w:cs="Arial"/>
        </w:rPr>
        <w:t xml:space="preserve"> to</w:t>
      </w:r>
      <w:r>
        <w:rPr>
          <w:rFonts w:ascii="Arial" w:hAnsi="Arial" w:cs="Arial"/>
        </w:rPr>
        <w:t xml:space="preserve"> complete the related </w:t>
      </w:r>
      <w:r w:rsidR="009E6AD3">
        <w:rPr>
          <w:rFonts w:ascii="Arial" w:hAnsi="Arial" w:cs="Arial"/>
          <w:b/>
          <w:u w:val="single"/>
        </w:rPr>
        <w:t>A</w:t>
      </w:r>
      <w:r w:rsidR="00C9150A">
        <w:rPr>
          <w:rFonts w:ascii="Arial" w:hAnsi="Arial" w:cs="Arial"/>
          <w:b/>
          <w:u w:val="single"/>
        </w:rPr>
        <w:t>CF</w:t>
      </w:r>
      <w:r w:rsidR="009E6AD3">
        <w:rPr>
          <w:rFonts w:ascii="Arial" w:hAnsi="Arial" w:cs="Arial"/>
          <w:b/>
          <w:u w:val="single"/>
        </w:rPr>
        <w:t>R</w:t>
      </w:r>
      <w:r w:rsidRPr="00003DA0">
        <w:rPr>
          <w:rFonts w:ascii="Arial" w:hAnsi="Arial" w:cs="Arial"/>
          <w:b/>
          <w:u w:val="single"/>
        </w:rPr>
        <w:t xml:space="preserve"> Package Narratives</w:t>
      </w:r>
      <w:r>
        <w:rPr>
          <w:rFonts w:ascii="Arial" w:hAnsi="Arial" w:cs="Arial"/>
        </w:rPr>
        <w:t xml:space="preserve"> disclosure</w:t>
      </w:r>
      <w:r w:rsidR="00BA6126">
        <w:rPr>
          <w:rFonts w:ascii="Arial" w:hAnsi="Arial" w:cs="Arial"/>
        </w:rPr>
        <w:t>s</w:t>
      </w:r>
      <w:r>
        <w:rPr>
          <w:rFonts w:ascii="Arial" w:hAnsi="Arial" w:cs="Arial"/>
        </w:rPr>
        <w:t>.</w:t>
      </w:r>
    </w:p>
    <w:p w14:paraId="26D50619" w14:textId="77777777" w:rsidR="00305B11" w:rsidRPr="006E1752" w:rsidRDefault="00305B11" w:rsidP="00DB6975">
      <w:pPr>
        <w:rPr>
          <w:rFonts w:ascii="Arial" w:hAnsi="Arial" w:cs="Arial"/>
        </w:rPr>
      </w:pPr>
    </w:p>
    <w:p w14:paraId="5557AFD8" w14:textId="77777777" w:rsidR="00762F6F" w:rsidRPr="00762F6F" w:rsidRDefault="00762F6F" w:rsidP="00762F6F">
      <w:pPr>
        <w:keepNext/>
        <w:outlineLvl w:val="2"/>
        <w:rPr>
          <w:rFonts w:ascii="Arial" w:hAnsi="Arial"/>
          <w:b/>
          <w:smallCaps/>
          <w:sz w:val="24"/>
          <w:u w:val="single"/>
          <w:lang w:eastAsia="x-none"/>
        </w:rPr>
      </w:pPr>
      <w:r>
        <w:rPr>
          <w:rFonts w:ascii="Arial" w:hAnsi="Arial"/>
          <w:b/>
          <w:smallCaps/>
          <w:sz w:val="24"/>
          <w:u w:val="single"/>
          <w:lang w:eastAsia="x-none"/>
        </w:rPr>
        <w:t>Certain Asset Retirement Obligations (323)</w:t>
      </w:r>
    </w:p>
    <w:p w14:paraId="2001C53E" w14:textId="77777777" w:rsidR="009E6BBB" w:rsidRDefault="009E6BBB" w:rsidP="009E6BBB">
      <w:pPr>
        <w:jc w:val="both"/>
        <w:rPr>
          <w:rFonts w:ascii="Arial" w:hAnsi="Arial"/>
        </w:rPr>
      </w:pPr>
    </w:p>
    <w:p w14:paraId="2D222367" w14:textId="6C531EDE" w:rsidR="00856689" w:rsidRDefault="009E6BBB" w:rsidP="009E6BBB">
      <w:pPr>
        <w:rPr>
          <w:rFonts w:ascii="Arial" w:hAnsi="Arial"/>
        </w:rPr>
      </w:pPr>
      <w:r>
        <w:rPr>
          <w:rFonts w:ascii="Arial" w:hAnsi="Arial"/>
        </w:rPr>
        <w:t>GASB 83 requires recognition of a liability and corresponding deferred outflows of resources for an asset retirement obligation (ARO) if the liability is incurred and reasonably estimable.</w:t>
      </w:r>
      <w:r w:rsidR="00FB7843">
        <w:rPr>
          <w:rFonts w:ascii="Arial" w:hAnsi="Arial"/>
        </w:rPr>
        <w:t xml:space="preserve">  An ARO is a legally </w:t>
      </w:r>
      <w:r w:rsidR="00FB7843">
        <w:rPr>
          <w:rFonts w:ascii="Arial" w:hAnsi="Arial"/>
        </w:rPr>
        <w:lastRenderedPageBreak/>
        <w:t>enforceable liability associated with the retirement of certain tangible capital assets.  Examples of tangible capital assets that could have an ARO are decommissioning of nuclear reactors; removal and disposal of wind turbines in wind farms; dismantling and removal of sewage treatment plants; and removal and disposal of X-ray machines</w:t>
      </w:r>
      <w:r w:rsidR="00E72F79">
        <w:rPr>
          <w:rFonts w:ascii="Arial" w:hAnsi="Arial"/>
        </w:rPr>
        <w:t xml:space="preserve"> and </w:t>
      </w:r>
      <w:r w:rsidR="00FB7843">
        <w:rPr>
          <w:rFonts w:ascii="Arial" w:hAnsi="Arial"/>
        </w:rPr>
        <w:t>MRI machines (this is not an all</w:t>
      </w:r>
      <w:r w:rsidR="00C312AA">
        <w:rPr>
          <w:rFonts w:ascii="Arial" w:hAnsi="Arial"/>
        </w:rPr>
        <w:t>-</w:t>
      </w:r>
      <w:r w:rsidR="00FB7843">
        <w:rPr>
          <w:rFonts w:ascii="Arial" w:hAnsi="Arial"/>
        </w:rPr>
        <w:t xml:space="preserve">inclusive list).  This worksheet is to be completed </w:t>
      </w:r>
      <w:r w:rsidR="007B14EF">
        <w:rPr>
          <w:rFonts w:ascii="Arial" w:hAnsi="Arial"/>
        </w:rPr>
        <w:t xml:space="preserve">only if you have an ARO.  </w:t>
      </w:r>
      <w:r w:rsidR="00163E69">
        <w:rPr>
          <w:rFonts w:ascii="Arial" w:hAnsi="Arial"/>
        </w:rPr>
        <w:t>At the top portion</w:t>
      </w:r>
      <w:r w:rsidR="007B14EF">
        <w:rPr>
          <w:rFonts w:ascii="Arial" w:hAnsi="Arial"/>
        </w:rPr>
        <w:t xml:space="preserve"> of the worksheet, indicate the external and internal obligating events that caused the incurrence of a liability.  </w:t>
      </w:r>
      <w:r w:rsidR="007E275D">
        <w:rPr>
          <w:rFonts w:ascii="Arial" w:hAnsi="Arial"/>
        </w:rPr>
        <w:t>Then</w:t>
      </w:r>
      <w:r w:rsidR="007B14EF">
        <w:rPr>
          <w:rFonts w:ascii="Arial" w:hAnsi="Arial"/>
        </w:rPr>
        <w:t xml:space="preserve">, provide accounting and </w:t>
      </w:r>
    </w:p>
    <w:p w14:paraId="65E94BE4" w14:textId="77777777" w:rsidR="00856689" w:rsidRDefault="00856689" w:rsidP="009E6BBB">
      <w:pPr>
        <w:rPr>
          <w:rFonts w:ascii="Arial" w:hAnsi="Arial"/>
        </w:rPr>
      </w:pPr>
    </w:p>
    <w:p w14:paraId="0B68A367" w14:textId="68595575" w:rsidR="00FB7843" w:rsidRDefault="007B14EF" w:rsidP="009E6BBB">
      <w:pPr>
        <w:rPr>
          <w:rFonts w:ascii="Arial" w:hAnsi="Arial"/>
        </w:rPr>
      </w:pPr>
      <w:r>
        <w:rPr>
          <w:rFonts w:ascii="Arial" w:hAnsi="Arial"/>
        </w:rPr>
        <w:t xml:space="preserve">financial reporting related to the ARO.  Complete the first part if this is the first year the ARO will be recognized.  </w:t>
      </w:r>
      <w:r w:rsidR="00D949CE">
        <w:rPr>
          <w:rFonts w:ascii="Arial" w:hAnsi="Arial"/>
        </w:rPr>
        <w:t>C</w:t>
      </w:r>
      <w:r>
        <w:rPr>
          <w:rFonts w:ascii="Arial" w:hAnsi="Arial"/>
        </w:rPr>
        <w:t>omplete the</w:t>
      </w:r>
      <w:r w:rsidR="009E6BBB">
        <w:rPr>
          <w:rFonts w:ascii="Arial" w:hAnsi="Arial"/>
        </w:rPr>
        <w:t xml:space="preserve"> </w:t>
      </w:r>
      <w:r>
        <w:rPr>
          <w:rFonts w:ascii="Arial" w:hAnsi="Arial"/>
        </w:rPr>
        <w:t xml:space="preserve">second part for all subsequent years of recognition.  </w:t>
      </w:r>
    </w:p>
    <w:p w14:paraId="764E1CB4" w14:textId="77777777" w:rsidR="00FB7843" w:rsidRDefault="00FB7843" w:rsidP="009E6BBB">
      <w:pPr>
        <w:rPr>
          <w:rFonts w:ascii="Arial" w:hAnsi="Arial"/>
        </w:rPr>
      </w:pPr>
    </w:p>
    <w:p w14:paraId="7EF891D8" w14:textId="14B81AD5" w:rsidR="009E6BBB" w:rsidRPr="00CD7315" w:rsidRDefault="007B14EF" w:rsidP="009E6BBB">
      <w:pPr>
        <w:rPr>
          <w:rFonts w:ascii="Arial" w:hAnsi="Arial" w:cs="Arial"/>
        </w:rPr>
      </w:pPr>
      <w:r>
        <w:rPr>
          <w:rFonts w:ascii="Arial" w:hAnsi="Arial" w:cs="Arial"/>
        </w:rPr>
        <w:t>R</w:t>
      </w:r>
      <w:r w:rsidR="009E6BBB">
        <w:rPr>
          <w:rFonts w:ascii="Arial" w:hAnsi="Arial" w:cs="Arial"/>
        </w:rPr>
        <w:t xml:space="preserve">elated </w:t>
      </w:r>
      <w:r w:rsidR="009E6AD3">
        <w:rPr>
          <w:rFonts w:ascii="Arial" w:hAnsi="Arial" w:cs="Arial"/>
          <w:b/>
          <w:u w:val="single"/>
        </w:rPr>
        <w:t>A</w:t>
      </w:r>
      <w:r w:rsidR="000271D6">
        <w:rPr>
          <w:rFonts w:ascii="Arial" w:hAnsi="Arial" w:cs="Arial"/>
          <w:b/>
          <w:u w:val="single"/>
        </w:rPr>
        <w:t>CFR</w:t>
      </w:r>
      <w:r w:rsidR="009E6BBB">
        <w:rPr>
          <w:rFonts w:ascii="Arial" w:hAnsi="Arial" w:cs="Arial"/>
          <w:b/>
          <w:u w:val="single"/>
        </w:rPr>
        <w:t xml:space="preserve"> Package Narrative</w:t>
      </w:r>
      <w:r w:rsidR="009E6BBB">
        <w:rPr>
          <w:rFonts w:ascii="Arial" w:hAnsi="Arial" w:cs="Arial"/>
        </w:rPr>
        <w:t xml:space="preserve"> disclosures are required</w:t>
      </w:r>
      <w:r>
        <w:rPr>
          <w:rFonts w:ascii="Arial" w:hAnsi="Arial" w:cs="Arial"/>
        </w:rPr>
        <w:t xml:space="preserve"> for recognition of an ARO.  If the ARO or portions thereof is not reasonably estimable, provide disclosure of this fact and the reasons thereof in </w:t>
      </w:r>
      <w:r w:rsidR="00CD6EAB">
        <w:rPr>
          <w:rFonts w:ascii="Arial" w:hAnsi="Arial" w:cs="Arial"/>
        </w:rPr>
        <w:t xml:space="preserve">the related </w:t>
      </w:r>
      <w:r w:rsidR="009E6AD3">
        <w:rPr>
          <w:rFonts w:ascii="Arial" w:hAnsi="Arial" w:cs="Arial"/>
          <w:b/>
          <w:bCs/>
          <w:u w:val="single"/>
        </w:rPr>
        <w:t>A</w:t>
      </w:r>
      <w:r w:rsidR="000271D6">
        <w:rPr>
          <w:rFonts w:ascii="Arial" w:hAnsi="Arial" w:cs="Arial"/>
          <w:b/>
          <w:bCs/>
          <w:u w:val="single"/>
        </w:rPr>
        <w:t>CFR</w:t>
      </w:r>
      <w:r w:rsidR="00CD6EAB" w:rsidRPr="00CD6EAB">
        <w:rPr>
          <w:rFonts w:ascii="Arial" w:hAnsi="Arial" w:cs="Arial"/>
          <w:b/>
          <w:bCs/>
          <w:u w:val="single"/>
        </w:rPr>
        <w:t xml:space="preserve"> Package Narrative</w:t>
      </w:r>
      <w:r w:rsidR="00CD6EAB">
        <w:rPr>
          <w:rFonts w:ascii="Arial" w:hAnsi="Arial" w:cs="Arial"/>
        </w:rPr>
        <w:t>.</w:t>
      </w:r>
    </w:p>
    <w:p w14:paraId="20FFFFC2" w14:textId="6501EB5D" w:rsidR="009E6BBB" w:rsidRDefault="009E6BBB" w:rsidP="009E6BBB">
      <w:pPr>
        <w:jc w:val="both"/>
        <w:rPr>
          <w:rFonts w:ascii="Arial" w:hAnsi="Arial" w:cs="Arial"/>
        </w:rPr>
      </w:pPr>
    </w:p>
    <w:p w14:paraId="15AF4121" w14:textId="77777777" w:rsidR="00CD6EAB" w:rsidRDefault="00CD6EAB" w:rsidP="009E6BBB">
      <w:pPr>
        <w:jc w:val="both"/>
        <w:rPr>
          <w:rFonts w:ascii="Arial" w:hAnsi="Arial" w:cs="Arial"/>
        </w:rPr>
      </w:pPr>
    </w:p>
    <w:p w14:paraId="18038BB9" w14:textId="77777777" w:rsidR="00DB6975" w:rsidRDefault="00B33DA2" w:rsidP="004527F1">
      <w:pPr>
        <w:pStyle w:val="Heading3"/>
        <w:spacing w:line="240" w:lineRule="auto"/>
        <w:jc w:val="left"/>
        <w:rPr>
          <w:rFonts w:ascii="Arial" w:hAnsi="Arial"/>
          <w:u w:val="single"/>
        </w:rPr>
      </w:pPr>
      <w:r w:rsidRPr="004527F1">
        <w:rPr>
          <w:rFonts w:ascii="Arial" w:hAnsi="Arial"/>
          <w:u w:val="single"/>
        </w:rPr>
        <w:t>Pledged Revenue</w:t>
      </w:r>
      <w:r w:rsidR="000165FA">
        <w:rPr>
          <w:rFonts w:ascii="Arial" w:hAnsi="Arial"/>
          <w:u w:val="single"/>
        </w:rPr>
        <w:t xml:space="preserve"> Narrative</w:t>
      </w:r>
      <w:r w:rsidR="00DB6975" w:rsidRPr="004527F1">
        <w:rPr>
          <w:rFonts w:ascii="Arial" w:hAnsi="Arial"/>
          <w:u w:val="single"/>
        </w:rPr>
        <w:t xml:space="preserve"> (326)</w:t>
      </w:r>
    </w:p>
    <w:p w14:paraId="5B13EE4E" w14:textId="77777777" w:rsidR="004527F1" w:rsidRPr="004527F1" w:rsidRDefault="004527F1" w:rsidP="004527F1">
      <w:pPr>
        <w:rPr>
          <w:lang w:val="x-none" w:eastAsia="x-none"/>
        </w:rPr>
      </w:pPr>
    </w:p>
    <w:tbl>
      <w:tblPr>
        <w:tblW w:w="22391" w:type="dxa"/>
        <w:tblInd w:w="108" w:type="dxa"/>
        <w:tblLook w:val="04A0" w:firstRow="1" w:lastRow="0" w:firstColumn="1" w:lastColumn="0" w:noHBand="0" w:noVBand="1"/>
      </w:tblPr>
      <w:tblGrid>
        <w:gridCol w:w="1355"/>
        <w:gridCol w:w="7616"/>
        <w:gridCol w:w="222"/>
        <w:gridCol w:w="222"/>
        <w:gridCol w:w="222"/>
        <w:gridCol w:w="222"/>
        <w:gridCol w:w="222"/>
        <w:gridCol w:w="271"/>
        <w:gridCol w:w="1209"/>
        <w:gridCol w:w="725"/>
        <w:gridCol w:w="723"/>
        <w:gridCol w:w="622"/>
        <w:gridCol w:w="622"/>
        <w:gridCol w:w="622"/>
        <w:gridCol w:w="389"/>
        <w:gridCol w:w="389"/>
        <w:gridCol w:w="374"/>
        <w:gridCol w:w="684"/>
        <w:gridCol w:w="4106"/>
        <w:gridCol w:w="684"/>
        <w:gridCol w:w="374"/>
        <w:gridCol w:w="516"/>
      </w:tblGrid>
      <w:tr w:rsidR="00DB6975" w:rsidRPr="003A680B" w14:paraId="165D851E" w14:textId="77777777" w:rsidTr="00DB6975">
        <w:trPr>
          <w:trHeight w:val="300"/>
        </w:trPr>
        <w:tc>
          <w:tcPr>
            <w:tcW w:w="21875" w:type="dxa"/>
            <w:gridSpan w:val="21"/>
            <w:tcBorders>
              <w:top w:val="nil"/>
              <w:left w:val="nil"/>
              <w:bottom w:val="nil"/>
              <w:right w:val="nil"/>
            </w:tcBorders>
            <w:noWrap/>
            <w:vAlign w:val="bottom"/>
            <w:hideMark/>
          </w:tcPr>
          <w:p w14:paraId="26AA05B9" w14:textId="4B861AD3" w:rsidR="00DB6975" w:rsidRPr="003A680B" w:rsidRDefault="00DB6975" w:rsidP="004527F1">
            <w:pPr>
              <w:ind w:left="-108"/>
              <w:rPr>
                <w:rFonts w:ascii="Arial" w:hAnsi="Arial" w:cs="Arial"/>
              </w:rPr>
            </w:pPr>
            <w:r w:rsidRPr="003A680B">
              <w:rPr>
                <w:rFonts w:ascii="Arial" w:hAnsi="Arial" w:cs="Arial"/>
              </w:rPr>
              <w:t xml:space="preserve">For each period in which </w:t>
            </w:r>
            <w:r w:rsidRPr="003A680B">
              <w:rPr>
                <w:rFonts w:ascii="Arial" w:hAnsi="Arial" w:cs="Arial"/>
                <w:u w:val="single"/>
              </w:rPr>
              <w:t>secured debt</w:t>
            </w:r>
            <w:r w:rsidRPr="003A680B">
              <w:rPr>
                <w:rFonts w:ascii="Arial" w:hAnsi="Arial" w:cs="Arial"/>
                <w:vertAlign w:val="superscript"/>
              </w:rPr>
              <w:t>1,2</w:t>
            </w:r>
            <w:r w:rsidRPr="003A680B">
              <w:rPr>
                <w:rFonts w:ascii="Arial" w:hAnsi="Arial" w:cs="Arial"/>
              </w:rPr>
              <w:t xml:space="preserve"> remains outstanding, </w:t>
            </w:r>
            <w:r w:rsidR="00F60E44">
              <w:rPr>
                <w:rFonts w:ascii="Arial" w:hAnsi="Arial" w:cs="Arial"/>
              </w:rPr>
              <w:t>GASB Codification S20.</w:t>
            </w:r>
            <w:r w:rsidR="00F43C49">
              <w:rPr>
                <w:rFonts w:ascii="Arial" w:hAnsi="Arial" w:cs="Arial"/>
              </w:rPr>
              <w:t>120</w:t>
            </w:r>
            <w:r w:rsidR="00E00CE2">
              <w:rPr>
                <w:rFonts w:ascii="Arial" w:hAnsi="Arial" w:cs="Arial"/>
              </w:rPr>
              <w:t xml:space="preserve"> </w:t>
            </w:r>
            <w:r w:rsidR="00F43C49">
              <w:rPr>
                <w:rFonts w:ascii="Arial" w:hAnsi="Arial" w:cs="Arial"/>
              </w:rPr>
              <w:t>-</w:t>
            </w:r>
            <w:r w:rsidR="00E00CE2">
              <w:rPr>
                <w:rFonts w:ascii="Arial" w:hAnsi="Arial" w:cs="Arial"/>
              </w:rPr>
              <w:t xml:space="preserve"> </w:t>
            </w:r>
            <w:r w:rsidR="00F43C49">
              <w:rPr>
                <w:rFonts w:ascii="Arial" w:hAnsi="Arial" w:cs="Arial"/>
              </w:rPr>
              <w:t>.121</w:t>
            </w:r>
          </w:p>
        </w:tc>
        <w:tc>
          <w:tcPr>
            <w:tcW w:w="516" w:type="dxa"/>
            <w:tcBorders>
              <w:top w:val="nil"/>
              <w:left w:val="nil"/>
              <w:bottom w:val="nil"/>
              <w:right w:val="nil"/>
            </w:tcBorders>
            <w:noWrap/>
            <w:vAlign w:val="bottom"/>
            <w:hideMark/>
          </w:tcPr>
          <w:p w14:paraId="63AA4673" w14:textId="77777777" w:rsidR="00DB6975" w:rsidRPr="003A680B" w:rsidRDefault="00DB6975" w:rsidP="005A75BC">
            <w:pPr>
              <w:rPr>
                <w:rFonts w:ascii="Arial" w:hAnsi="Arial" w:cs="Arial"/>
              </w:rPr>
            </w:pPr>
          </w:p>
        </w:tc>
      </w:tr>
      <w:tr w:rsidR="00DB6975" w:rsidRPr="003A680B" w14:paraId="7A0481BD" w14:textId="77777777" w:rsidTr="00DB6975">
        <w:trPr>
          <w:trHeight w:val="255"/>
        </w:trPr>
        <w:tc>
          <w:tcPr>
            <w:tcW w:w="21875" w:type="dxa"/>
            <w:gridSpan w:val="21"/>
            <w:tcBorders>
              <w:top w:val="nil"/>
              <w:left w:val="nil"/>
              <w:bottom w:val="nil"/>
              <w:right w:val="nil"/>
            </w:tcBorders>
            <w:noWrap/>
            <w:vAlign w:val="bottom"/>
            <w:hideMark/>
          </w:tcPr>
          <w:p w14:paraId="1CC8937C" w14:textId="77777777" w:rsidR="00DB6975" w:rsidRPr="003A680B" w:rsidRDefault="00DB6975" w:rsidP="004527F1">
            <w:pPr>
              <w:ind w:left="-108"/>
              <w:rPr>
                <w:rFonts w:ascii="Arial" w:hAnsi="Arial" w:cs="Arial"/>
              </w:rPr>
            </w:pPr>
            <w:r w:rsidRPr="003A680B">
              <w:rPr>
                <w:rFonts w:ascii="Arial" w:hAnsi="Arial" w:cs="Arial"/>
              </w:rPr>
              <w:t xml:space="preserve">requires governments to disclose, in the </w:t>
            </w:r>
            <w:proofErr w:type="gramStart"/>
            <w:r w:rsidRPr="003A680B">
              <w:rPr>
                <w:rFonts w:ascii="Arial" w:hAnsi="Arial" w:cs="Arial"/>
              </w:rPr>
              <w:t>notes</w:t>
            </w:r>
            <w:proofErr w:type="gramEnd"/>
            <w:r w:rsidRPr="003A680B">
              <w:rPr>
                <w:rFonts w:ascii="Arial" w:hAnsi="Arial" w:cs="Arial"/>
              </w:rPr>
              <w:t xml:space="preserve"> to the financial statements, information about specific</w:t>
            </w:r>
          </w:p>
        </w:tc>
        <w:tc>
          <w:tcPr>
            <w:tcW w:w="516" w:type="dxa"/>
            <w:tcBorders>
              <w:top w:val="nil"/>
              <w:left w:val="nil"/>
              <w:bottom w:val="nil"/>
              <w:right w:val="nil"/>
            </w:tcBorders>
            <w:noWrap/>
            <w:vAlign w:val="bottom"/>
            <w:hideMark/>
          </w:tcPr>
          <w:p w14:paraId="55CECFBE" w14:textId="77777777" w:rsidR="00DB6975" w:rsidRPr="003A680B" w:rsidRDefault="00DB6975" w:rsidP="005A75BC">
            <w:pPr>
              <w:rPr>
                <w:rFonts w:ascii="Arial" w:hAnsi="Arial" w:cs="Arial"/>
              </w:rPr>
            </w:pPr>
          </w:p>
        </w:tc>
      </w:tr>
      <w:tr w:rsidR="00DB6975" w:rsidRPr="003A680B" w14:paraId="65ACCD2D" w14:textId="77777777" w:rsidTr="00DB6975">
        <w:trPr>
          <w:trHeight w:val="255"/>
        </w:trPr>
        <w:tc>
          <w:tcPr>
            <w:tcW w:w="13009" w:type="dxa"/>
            <w:gridSpan w:val="11"/>
            <w:tcBorders>
              <w:top w:val="nil"/>
              <w:left w:val="nil"/>
              <w:bottom w:val="nil"/>
              <w:right w:val="nil"/>
            </w:tcBorders>
            <w:noWrap/>
            <w:vAlign w:val="bottom"/>
            <w:hideMark/>
          </w:tcPr>
          <w:p w14:paraId="19F22813" w14:textId="77777777" w:rsidR="00DB6975" w:rsidRDefault="005F3CF2" w:rsidP="004527F1">
            <w:pPr>
              <w:ind w:left="-108"/>
              <w:rPr>
                <w:rFonts w:ascii="Arial" w:hAnsi="Arial" w:cs="Arial"/>
              </w:rPr>
            </w:pPr>
            <w:r>
              <w:rPr>
                <w:rFonts w:ascii="Arial" w:hAnsi="Arial" w:cs="Arial"/>
              </w:rPr>
              <w:t>revenues pledged.</w:t>
            </w:r>
          </w:p>
          <w:p w14:paraId="79F8107B" w14:textId="77777777" w:rsidR="00C26A01" w:rsidRDefault="00C26A01" w:rsidP="005A75BC">
            <w:pPr>
              <w:rPr>
                <w:rFonts w:ascii="Arial" w:hAnsi="Arial" w:cs="Arial"/>
              </w:rPr>
            </w:pPr>
          </w:p>
          <w:p w14:paraId="3C9D25A3" w14:textId="77777777" w:rsidR="00905503" w:rsidRDefault="00905503" w:rsidP="005A75BC">
            <w:pPr>
              <w:rPr>
                <w:rFonts w:ascii="Arial" w:hAnsi="Arial" w:cs="Arial"/>
              </w:rPr>
            </w:pPr>
          </w:p>
          <w:p w14:paraId="73B9A7DE" w14:textId="77777777" w:rsidR="00C26A01" w:rsidRDefault="00C26A01" w:rsidP="005A75BC">
            <w:pPr>
              <w:rPr>
                <w:rFonts w:ascii="Arial" w:hAnsi="Arial" w:cs="Arial"/>
              </w:rPr>
            </w:pPr>
            <w:r>
              <w:rPr>
                <w:rFonts w:ascii="Arial" w:hAnsi="Arial" w:cs="Arial"/>
              </w:rPr>
              <w:t>Notes</w:t>
            </w:r>
          </w:p>
          <w:p w14:paraId="45B0F24F" w14:textId="77777777" w:rsidR="00E62B12" w:rsidRDefault="00C26A01" w:rsidP="00E62B12">
            <w:pPr>
              <w:numPr>
                <w:ilvl w:val="0"/>
                <w:numId w:val="34"/>
              </w:numPr>
              <w:ind w:right="2480"/>
              <w:rPr>
                <w:rFonts w:ascii="Arial" w:hAnsi="Arial" w:cs="Arial"/>
              </w:rPr>
            </w:pPr>
            <w:r>
              <w:rPr>
                <w:rFonts w:ascii="Arial" w:hAnsi="Arial" w:cs="Arial"/>
              </w:rPr>
              <w:t xml:space="preserve">Examples of secured debt include revenue bonds, </w:t>
            </w:r>
            <w:r w:rsidR="00F43C49">
              <w:rPr>
                <w:rFonts w:ascii="Arial" w:hAnsi="Arial" w:cs="Arial"/>
              </w:rPr>
              <w:t>special indebtedness, direct placements, notes from direct</w:t>
            </w:r>
            <w:r w:rsidR="00E62B12">
              <w:rPr>
                <w:rFonts w:ascii="Arial" w:hAnsi="Arial" w:cs="Arial"/>
              </w:rPr>
              <w:t xml:space="preserve"> </w:t>
            </w:r>
            <w:r w:rsidR="00F43C49" w:rsidRPr="00E62B12">
              <w:rPr>
                <w:rFonts w:ascii="Arial" w:hAnsi="Arial" w:cs="Arial"/>
              </w:rPr>
              <w:t xml:space="preserve">borrowings, </w:t>
            </w:r>
            <w:r w:rsidRPr="00E62B12">
              <w:rPr>
                <w:rFonts w:ascii="Arial" w:hAnsi="Arial" w:cs="Arial"/>
              </w:rPr>
              <w:t>certific</w:t>
            </w:r>
            <w:r w:rsidR="001D4B2F" w:rsidRPr="00E62B12">
              <w:rPr>
                <w:rFonts w:ascii="Arial" w:hAnsi="Arial" w:cs="Arial"/>
              </w:rPr>
              <w:t>ates of participation</w:t>
            </w:r>
            <w:r w:rsidR="00F43C49" w:rsidRPr="00E62B12">
              <w:rPr>
                <w:rFonts w:ascii="Arial" w:hAnsi="Arial" w:cs="Arial"/>
              </w:rPr>
              <w:t xml:space="preserve">, </w:t>
            </w:r>
            <w:r w:rsidRPr="00E62B12">
              <w:rPr>
                <w:rFonts w:ascii="Arial" w:hAnsi="Arial" w:cs="Arial"/>
              </w:rPr>
              <w:t>GARVEE</w:t>
            </w:r>
            <w:r w:rsidR="001D4B2F" w:rsidRPr="00E62B12">
              <w:rPr>
                <w:rFonts w:ascii="Arial" w:hAnsi="Arial" w:cs="Arial"/>
              </w:rPr>
              <w:t xml:space="preserve"> bonds</w:t>
            </w:r>
            <w:r w:rsidR="00F43C49" w:rsidRPr="00E62B12">
              <w:rPr>
                <w:rFonts w:ascii="Arial" w:hAnsi="Arial" w:cs="Arial"/>
              </w:rPr>
              <w:t xml:space="preserve"> </w:t>
            </w:r>
            <w:r w:rsidR="00703942" w:rsidRPr="00E62B12">
              <w:rPr>
                <w:rFonts w:ascii="Arial" w:hAnsi="Arial" w:cs="Arial"/>
              </w:rPr>
              <w:t xml:space="preserve">(DOT only), and borrowings by </w:t>
            </w:r>
          </w:p>
          <w:p w14:paraId="5C910DA2" w14:textId="41C6AD69" w:rsidR="00C26A01" w:rsidRDefault="00703942" w:rsidP="00E62B12">
            <w:pPr>
              <w:ind w:left="720" w:right="2480"/>
              <w:rPr>
                <w:rFonts w:ascii="Arial" w:hAnsi="Arial" w:cs="Arial"/>
              </w:rPr>
            </w:pPr>
            <w:r w:rsidRPr="00E62B12">
              <w:rPr>
                <w:rFonts w:ascii="Arial" w:hAnsi="Arial" w:cs="Arial"/>
              </w:rPr>
              <w:t xml:space="preserve">the Division of </w:t>
            </w:r>
            <w:r>
              <w:rPr>
                <w:rFonts w:ascii="Arial" w:hAnsi="Arial" w:cs="Arial"/>
              </w:rPr>
              <w:t>Employment Security.</w:t>
            </w:r>
          </w:p>
          <w:p w14:paraId="43C4D7D1" w14:textId="77777777" w:rsidR="00703942" w:rsidRDefault="00703942" w:rsidP="00703942">
            <w:pPr>
              <w:rPr>
                <w:rFonts w:ascii="Arial" w:hAnsi="Arial" w:cs="Arial"/>
              </w:rPr>
            </w:pPr>
          </w:p>
          <w:p w14:paraId="71985034" w14:textId="77777777" w:rsidR="00703942" w:rsidRDefault="00703942" w:rsidP="00703942">
            <w:pPr>
              <w:numPr>
                <w:ilvl w:val="0"/>
                <w:numId w:val="34"/>
              </w:numPr>
              <w:rPr>
                <w:rFonts w:ascii="Arial" w:hAnsi="Arial" w:cs="Arial"/>
              </w:rPr>
            </w:pPr>
            <w:r>
              <w:rPr>
                <w:rFonts w:ascii="Arial" w:hAnsi="Arial" w:cs="Arial"/>
              </w:rPr>
              <w:t>If a specific revenue stream is pledged as security for multiple debt issuances, the required disclosures</w:t>
            </w:r>
          </w:p>
          <w:p w14:paraId="7B49CE94" w14:textId="77777777" w:rsidR="00703942" w:rsidRPr="003A680B" w:rsidRDefault="00703942" w:rsidP="00703942">
            <w:pPr>
              <w:ind w:left="720"/>
              <w:rPr>
                <w:rFonts w:ascii="Arial" w:hAnsi="Arial" w:cs="Arial"/>
              </w:rPr>
            </w:pPr>
            <w:r>
              <w:rPr>
                <w:rFonts w:ascii="Arial" w:hAnsi="Arial" w:cs="Arial"/>
              </w:rPr>
              <w:t>may be combined in a single note.</w:t>
            </w:r>
          </w:p>
        </w:tc>
        <w:tc>
          <w:tcPr>
            <w:tcW w:w="622" w:type="dxa"/>
            <w:tcBorders>
              <w:top w:val="nil"/>
              <w:left w:val="nil"/>
              <w:bottom w:val="nil"/>
              <w:right w:val="nil"/>
            </w:tcBorders>
            <w:noWrap/>
            <w:vAlign w:val="bottom"/>
            <w:hideMark/>
          </w:tcPr>
          <w:p w14:paraId="5986EEFD" w14:textId="77777777" w:rsidR="00DB6975" w:rsidRPr="003A680B" w:rsidRDefault="00DB6975" w:rsidP="005A75BC">
            <w:pPr>
              <w:rPr>
                <w:rFonts w:ascii="Arial" w:hAnsi="Arial" w:cs="Arial"/>
              </w:rPr>
            </w:pPr>
          </w:p>
        </w:tc>
        <w:tc>
          <w:tcPr>
            <w:tcW w:w="622" w:type="dxa"/>
            <w:tcBorders>
              <w:top w:val="nil"/>
              <w:left w:val="nil"/>
              <w:bottom w:val="nil"/>
              <w:right w:val="nil"/>
            </w:tcBorders>
            <w:noWrap/>
            <w:vAlign w:val="bottom"/>
            <w:hideMark/>
          </w:tcPr>
          <w:p w14:paraId="288B370E" w14:textId="77777777" w:rsidR="00DB6975" w:rsidRPr="003A680B" w:rsidRDefault="00DB6975" w:rsidP="005A75BC">
            <w:pPr>
              <w:rPr>
                <w:rFonts w:ascii="Arial" w:hAnsi="Arial" w:cs="Arial"/>
              </w:rPr>
            </w:pPr>
          </w:p>
        </w:tc>
        <w:tc>
          <w:tcPr>
            <w:tcW w:w="622" w:type="dxa"/>
            <w:tcBorders>
              <w:top w:val="nil"/>
              <w:left w:val="nil"/>
              <w:bottom w:val="nil"/>
              <w:right w:val="nil"/>
            </w:tcBorders>
            <w:noWrap/>
            <w:vAlign w:val="bottom"/>
            <w:hideMark/>
          </w:tcPr>
          <w:p w14:paraId="7FCBD113" w14:textId="77777777" w:rsidR="00DB6975" w:rsidRPr="003A680B" w:rsidRDefault="00DB6975" w:rsidP="005A75BC">
            <w:pPr>
              <w:rPr>
                <w:rFonts w:ascii="Arial" w:hAnsi="Arial" w:cs="Arial"/>
              </w:rPr>
            </w:pPr>
          </w:p>
        </w:tc>
        <w:tc>
          <w:tcPr>
            <w:tcW w:w="389" w:type="dxa"/>
            <w:tcBorders>
              <w:top w:val="nil"/>
              <w:left w:val="nil"/>
              <w:bottom w:val="nil"/>
              <w:right w:val="nil"/>
            </w:tcBorders>
            <w:noWrap/>
            <w:vAlign w:val="bottom"/>
            <w:hideMark/>
          </w:tcPr>
          <w:p w14:paraId="4920C08F" w14:textId="77777777" w:rsidR="00DB6975" w:rsidRPr="003A680B" w:rsidRDefault="00DB6975" w:rsidP="005A75BC">
            <w:pPr>
              <w:rPr>
                <w:rFonts w:ascii="Arial" w:hAnsi="Arial" w:cs="Arial"/>
              </w:rPr>
            </w:pPr>
          </w:p>
        </w:tc>
        <w:tc>
          <w:tcPr>
            <w:tcW w:w="389" w:type="dxa"/>
            <w:tcBorders>
              <w:top w:val="nil"/>
              <w:left w:val="nil"/>
              <w:bottom w:val="nil"/>
              <w:right w:val="nil"/>
            </w:tcBorders>
            <w:noWrap/>
            <w:vAlign w:val="bottom"/>
            <w:hideMark/>
          </w:tcPr>
          <w:p w14:paraId="08881521" w14:textId="77777777" w:rsidR="00DB6975" w:rsidRPr="003A680B" w:rsidRDefault="00DB6975" w:rsidP="005A75BC">
            <w:pPr>
              <w:rPr>
                <w:rFonts w:ascii="Arial" w:hAnsi="Arial" w:cs="Arial"/>
              </w:rPr>
            </w:pPr>
          </w:p>
        </w:tc>
        <w:tc>
          <w:tcPr>
            <w:tcW w:w="374" w:type="dxa"/>
            <w:tcBorders>
              <w:top w:val="nil"/>
              <w:left w:val="nil"/>
              <w:bottom w:val="nil"/>
              <w:right w:val="nil"/>
            </w:tcBorders>
            <w:noWrap/>
            <w:vAlign w:val="bottom"/>
            <w:hideMark/>
          </w:tcPr>
          <w:p w14:paraId="679F4B08" w14:textId="77777777" w:rsidR="00DB6975" w:rsidRPr="003A680B" w:rsidRDefault="00DB6975" w:rsidP="005A75BC">
            <w:pPr>
              <w:rPr>
                <w:rFonts w:ascii="Arial" w:hAnsi="Arial" w:cs="Arial"/>
              </w:rPr>
            </w:pPr>
          </w:p>
        </w:tc>
        <w:tc>
          <w:tcPr>
            <w:tcW w:w="684" w:type="dxa"/>
            <w:tcBorders>
              <w:top w:val="nil"/>
              <w:left w:val="nil"/>
              <w:bottom w:val="nil"/>
              <w:right w:val="nil"/>
            </w:tcBorders>
            <w:noWrap/>
            <w:vAlign w:val="bottom"/>
            <w:hideMark/>
          </w:tcPr>
          <w:p w14:paraId="650E6D03" w14:textId="77777777" w:rsidR="00DB6975" w:rsidRPr="003A680B" w:rsidRDefault="00DB6975" w:rsidP="005A75BC">
            <w:pPr>
              <w:rPr>
                <w:rFonts w:ascii="Arial" w:hAnsi="Arial" w:cs="Arial"/>
              </w:rPr>
            </w:pPr>
          </w:p>
        </w:tc>
        <w:tc>
          <w:tcPr>
            <w:tcW w:w="4106" w:type="dxa"/>
            <w:tcBorders>
              <w:top w:val="nil"/>
              <w:left w:val="nil"/>
              <w:bottom w:val="nil"/>
              <w:right w:val="nil"/>
            </w:tcBorders>
            <w:noWrap/>
            <w:vAlign w:val="bottom"/>
            <w:hideMark/>
          </w:tcPr>
          <w:p w14:paraId="7578F6A3" w14:textId="77777777" w:rsidR="00DB6975" w:rsidRPr="003A680B" w:rsidRDefault="00DB6975" w:rsidP="005A75BC">
            <w:pPr>
              <w:rPr>
                <w:rFonts w:ascii="Arial" w:hAnsi="Arial" w:cs="Arial"/>
              </w:rPr>
            </w:pPr>
          </w:p>
        </w:tc>
        <w:tc>
          <w:tcPr>
            <w:tcW w:w="684" w:type="dxa"/>
            <w:tcBorders>
              <w:top w:val="nil"/>
              <w:left w:val="nil"/>
              <w:bottom w:val="nil"/>
              <w:right w:val="nil"/>
            </w:tcBorders>
            <w:noWrap/>
            <w:vAlign w:val="bottom"/>
            <w:hideMark/>
          </w:tcPr>
          <w:p w14:paraId="3C9AB04B" w14:textId="77777777" w:rsidR="00DB6975" w:rsidRPr="003A680B" w:rsidRDefault="00DB6975" w:rsidP="005A75BC">
            <w:pPr>
              <w:rPr>
                <w:rFonts w:ascii="Arial" w:hAnsi="Arial" w:cs="Arial"/>
              </w:rPr>
            </w:pPr>
          </w:p>
        </w:tc>
        <w:tc>
          <w:tcPr>
            <w:tcW w:w="374" w:type="dxa"/>
            <w:tcBorders>
              <w:top w:val="nil"/>
              <w:left w:val="nil"/>
              <w:bottom w:val="nil"/>
              <w:right w:val="nil"/>
            </w:tcBorders>
            <w:noWrap/>
            <w:vAlign w:val="bottom"/>
            <w:hideMark/>
          </w:tcPr>
          <w:p w14:paraId="156A0870" w14:textId="77777777" w:rsidR="00DB6975" w:rsidRPr="003A680B" w:rsidRDefault="00DB6975" w:rsidP="005A75BC">
            <w:pPr>
              <w:rPr>
                <w:rFonts w:ascii="Arial" w:hAnsi="Arial" w:cs="Arial"/>
              </w:rPr>
            </w:pPr>
          </w:p>
        </w:tc>
        <w:tc>
          <w:tcPr>
            <w:tcW w:w="516" w:type="dxa"/>
            <w:tcBorders>
              <w:top w:val="nil"/>
              <w:left w:val="nil"/>
              <w:bottom w:val="nil"/>
              <w:right w:val="nil"/>
            </w:tcBorders>
            <w:noWrap/>
            <w:vAlign w:val="bottom"/>
            <w:hideMark/>
          </w:tcPr>
          <w:p w14:paraId="1FD26657" w14:textId="77777777" w:rsidR="00DB6975" w:rsidRPr="003A680B" w:rsidRDefault="00DB6975" w:rsidP="005A75BC">
            <w:pPr>
              <w:rPr>
                <w:rFonts w:ascii="Arial" w:hAnsi="Arial" w:cs="Arial"/>
              </w:rPr>
            </w:pPr>
          </w:p>
        </w:tc>
      </w:tr>
      <w:tr w:rsidR="00DB6975" w:rsidRPr="003A680B" w14:paraId="0D069C61" w14:textId="77777777" w:rsidTr="00DB6975">
        <w:trPr>
          <w:trHeight w:val="255"/>
        </w:trPr>
        <w:tc>
          <w:tcPr>
            <w:tcW w:w="11561" w:type="dxa"/>
            <w:gridSpan w:val="9"/>
            <w:tcBorders>
              <w:top w:val="nil"/>
              <w:left w:val="nil"/>
              <w:bottom w:val="nil"/>
              <w:right w:val="nil"/>
            </w:tcBorders>
            <w:noWrap/>
            <w:vAlign w:val="bottom"/>
            <w:hideMark/>
          </w:tcPr>
          <w:p w14:paraId="314832AE" w14:textId="77777777" w:rsidR="00DB6975" w:rsidRPr="003A680B" w:rsidRDefault="00DB6975" w:rsidP="005A75BC">
            <w:pPr>
              <w:rPr>
                <w:rFonts w:ascii="Arial" w:hAnsi="Arial" w:cs="Arial"/>
              </w:rPr>
            </w:pPr>
          </w:p>
        </w:tc>
        <w:tc>
          <w:tcPr>
            <w:tcW w:w="725" w:type="dxa"/>
            <w:tcBorders>
              <w:top w:val="nil"/>
              <w:left w:val="nil"/>
              <w:bottom w:val="nil"/>
              <w:right w:val="nil"/>
            </w:tcBorders>
            <w:noWrap/>
            <w:vAlign w:val="bottom"/>
            <w:hideMark/>
          </w:tcPr>
          <w:p w14:paraId="39CD164D" w14:textId="77777777" w:rsidR="00DB6975" w:rsidRPr="003A680B" w:rsidRDefault="00DB6975" w:rsidP="005A75BC">
            <w:pPr>
              <w:rPr>
                <w:rFonts w:ascii="Arial" w:hAnsi="Arial" w:cs="Arial"/>
              </w:rPr>
            </w:pPr>
          </w:p>
        </w:tc>
        <w:tc>
          <w:tcPr>
            <w:tcW w:w="723" w:type="dxa"/>
            <w:tcBorders>
              <w:top w:val="nil"/>
              <w:left w:val="nil"/>
              <w:bottom w:val="nil"/>
              <w:right w:val="nil"/>
            </w:tcBorders>
            <w:noWrap/>
            <w:vAlign w:val="bottom"/>
            <w:hideMark/>
          </w:tcPr>
          <w:p w14:paraId="0BDD60B1" w14:textId="77777777" w:rsidR="00DB6975" w:rsidRPr="003A680B" w:rsidRDefault="00DB6975" w:rsidP="005A75BC">
            <w:pPr>
              <w:rPr>
                <w:rFonts w:ascii="Arial" w:hAnsi="Arial" w:cs="Arial"/>
              </w:rPr>
            </w:pPr>
          </w:p>
        </w:tc>
        <w:tc>
          <w:tcPr>
            <w:tcW w:w="622" w:type="dxa"/>
            <w:tcBorders>
              <w:top w:val="nil"/>
              <w:left w:val="nil"/>
              <w:bottom w:val="nil"/>
              <w:right w:val="nil"/>
            </w:tcBorders>
            <w:noWrap/>
            <w:vAlign w:val="bottom"/>
            <w:hideMark/>
          </w:tcPr>
          <w:p w14:paraId="46D31C2D" w14:textId="77777777" w:rsidR="00DB6975" w:rsidRPr="003A680B" w:rsidRDefault="00DB6975" w:rsidP="005A75BC">
            <w:pPr>
              <w:rPr>
                <w:rFonts w:ascii="Arial" w:hAnsi="Arial" w:cs="Arial"/>
              </w:rPr>
            </w:pPr>
          </w:p>
        </w:tc>
        <w:tc>
          <w:tcPr>
            <w:tcW w:w="622" w:type="dxa"/>
            <w:tcBorders>
              <w:top w:val="nil"/>
              <w:left w:val="nil"/>
              <w:bottom w:val="nil"/>
              <w:right w:val="nil"/>
            </w:tcBorders>
            <w:noWrap/>
            <w:vAlign w:val="bottom"/>
            <w:hideMark/>
          </w:tcPr>
          <w:p w14:paraId="2BECB4D4" w14:textId="77777777" w:rsidR="00DB6975" w:rsidRPr="003A680B" w:rsidRDefault="00DB6975" w:rsidP="005A75BC">
            <w:pPr>
              <w:rPr>
                <w:rFonts w:ascii="Arial" w:hAnsi="Arial" w:cs="Arial"/>
              </w:rPr>
            </w:pPr>
          </w:p>
        </w:tc>
        <w:tc>
          <w:tcPr>
            <w:tcW w:w="622" w:type="dxa"/>
            <w:tcBorders>
              <w:top w:val="nil"/>
              <w:left w:val="nil"/>
              <w:bottom w:val="nil"/>
              <w:right w:val="nil"/>
            </w:tcBorders>
            <w:noWrap/>
            <w:vAlign w:val="bottom"/>
            <w:hideMark/>
          </w:tcPr>
          <w:p w14:paraId="32E1F19F" w14:textId="77777777" w:rsidR="00DB6975" w:rsidRPr="003A680B" w:rsidRDefault="00DB6975" w:rsidP="005A75BC">
            <w:pPr>
              <w:rPr>
                <w:rFonts w:ascii="Arial" w:hAnsi="Arial" w:cs="Arial"/>
              </w:rPr>
            </w:pPr>
          </w:p>
        </w:tc>
        <w:tc>
          <w:tcPr>
            <w:tcW w:w="389" w:type="dxa"/>
            <w:tcBorders>
              <w:top w:val="nil"/>
              <w:left w:val="nil"/>
              <w:bottom w:val="nil"/>
              <w:right w:val="nil"/>
            </w:tcBorders>
            <w:noWrap/>
            <w:vAlign w:val="bottom"/>
            <w:hideMark/>
          </w:tcPr>
          <w:p w14:paraId="20FF3AFA" w14:textId="77777777" w:rsidR="00DB6975" w:rsidRPr="003A680B" w:rsidRDefault="00DB6975" w:rsidP="005A75BC">
            <w:pPr>
              <w:rPr>
                <w:rFonts w:ascii="Arial" w:hAnsi="Arial" w:cs="Arial"/>
              </w:rPr>
            </w:pPr>
          </w:p>
        </w:tc>
        <w:tc>
          <w:tcPr>
            <w:tcW w:w="389" w:type="dxa"/>
            <w:tcBorders>
              <w:top w:val="nil"/>
              <w:left w:val="nil"/>
              <w:bottom w:val="nil"/>
              <w:right w:val="nil"/>
            </w:tcBorders>
            <w:noWrap/>
            <w:vAlign w:val="bottom"/>
            <w:hideMark/>
          </w:tcPr>
          <w:p w14:paraId="7A8656F8" w14:textId="77777777" w:rsidR="00DB6975" w:rsidRPr="003A680B" w:rsidRDefault="00DB6975" w:rsidP="005A75BC">
            <w:pPr>
              <w:rPr>
                <w:rFonts w:ascii="Arial" w:hAnsi="Arial" w:cs="Arial"/>
              </w:rPr>
            </w:pPr>
          </w:p>
        </w:tc>
        <w:tc>
          <w:tcPr>
            <w:tcW w:w="374" w:type="dxa"/>
            <w:tcBorders>
              <w:top w:val="nil"/>
              <w:left w:val="nil"/>
              <w:bottom w:val="nil"/>
              <w:right w:val="nil"/>
            </w:tcBorders>
            <w:noWrap/>
            <w:vAlign w:val="bottom"/>
            <w:hideMark/>
          </w:tcPr>
          <w:p w14:paraId="0EC3533F" w14:textId="77777777" w:rsidR="00DB6975" w:rsidRPr="003A680B" w:rsidRDefault="00DB6975" w:rsidP="005A75BC">
            <w:pPr>
              <w:rPr>
                <w:rFonts w:ascii="Arial" w:hAnsi="Arial" w:cs="Arial"/>
              </w:rPr>
            </w:pPr>
          </w:p>
        </w:tc>
        <w:tc>
          <w:tcPr>
            <w:tcW w:w="684" w:type="dxa"/>
            <w:tcBorders>
              <w:top w:val="nil"/>
              <w:left w:val="nil"/>
              <w:bottom w:val="nil"/>
              <w:right w:val="nil"/>
            </w:tcBorders>
            <w:noWrap/>
            <w:vAlign w:val="bottom"/>
            <w:hideMark/>
          </w:tcPr>
          <w:p w14:paraId="765D41C5" w14:textId="77777777" w:rsidR="00DB6975" w:rsidRPr="003A680B" w:rsidRDefault="00DB6975" w:rsidP="005A75BC">
            <w:pPr>
              <w:rPr>
                <w:rFonts w:ascii="Arial" w:hAnsi="Arial" w:cs="Arial"/>
              </w:rPr>
            </w:pPr>
          </w:p>
        </w:tc>
        <w:tc>
          <w:tcPr>
            <w:tcW w:w="4106" w:type="dxa"/>
            <w:tcBorders>
              <w:top w:val="nil"/>
              <w:left w:val="nil"/>
              <w:bottom w:val="nil"/>
              <w:right w:val="nil"/>
            </w:tcBorders>
            <w:noWrap/>
            <w:vAlign w:val="bottom"/>
            <w:hideMark/>
          </w:tcPr>
          <w:p w14:paraId="72B11102" w14:textId="77777777" w:rsidR="00DB6975" w:rsidRPr="003A680B" w:rsidRDefault="00DB6975" w:rsidP="005A75BC">
            <w:pPr>
              <w:rPr>
                <w:rFonts w:ascii="Arial" w:hAnsi="Arial" w:cs="Arial"/>
              </w:rPr>
            </w:pPr>
          </w:p>
        </w:tc>
        <w:tc>
          <w:tcPr>
            <w:tcW w:w="684" w:type="dxa"/>
            <w:tcBorders>
              <w:top w:val="nil"/>
              <w:left w:val="nil"/>
              <w:bottom w:val="nil"/>
              <w:right w:val="nil"/>
            </w:tcBorders>
            <w:noWrap/>
            <w:vAlign w:val="bottom"/>
            <w:hideMark/>
          </w:tcPr>
          <w:p w14:paraId="0DE6700B" w14:textId="77777777" w:rsidR="00DB6975" w:rsidRPr="003A680B" w:rsidRDefault="00DB6975" w:rsidP="005A75BC">
            <w:pPr>
              <w:rPr>
                <w:rFonts w:ascii="Arial" w:hAnsi="Arial" w:cs="Arial"/>
              </w:rPr>
            </w:pPr>
          </w:p>
        </w:tc>
        <w:tc>
          <w:tcPr>
            <w:tcW w:w="374" w:type="dxa"/>
            <w:tcBorders>
              <w:top w:val="nil"/>
              <w:left w:val="nil"/>
              <w:bottom w:val="nil"/>
              <w:right w:val="nil"/>
            </w:tcBorders>
            <w:noWrap/>
            <w:vAlign w:val="bottom"/>
            <w:hideMark/>
          </w:tcPr>
          <w:p w14:paraId="5C650247" w14:textId="77777777" w:rsidR="00DB6975" w:rsidRPr="003A680B" w:rsidRDefault="00DB6975" w:rsidP="005A75BC">
            <w:pPr>
              <w:rPr>
                <w:rFonts w:ascii="Arial" w:hAnsi="Arial" w:cs="Arial"/>
              </w:rPr>
            </w:pPr>
          </w:p>
        </w:tc>
        <w:tc>
          <w:tcPr>
            <w:tcW w:w="516" w:type="dxa"/>
            <w:tcBorders>
              <w:top w:val="nil"/>
              <w:left w:val="nil"/>
              <w:bottom w:val="nil"/>
              <w:right w:val="nil"/>
            </w:tcBorders>
            <w:noWrap/>
            <w:vAlign w:val="bottom"/>
            <w:hideMark/>
          </w:tcPr>
          <w:p w14:paraId="2A15450C" w14:textId="77777777" w:rsidR="00DB6975" w:rsidRPr="003A680B" w:rsidRDefault="00DB6975" w:rsidP="005A75BC">
            <w:pPr>
              <w:rPr>
                <w:rFonts w:ascii="Arial" w:hAnsi="Arial" w:cs="Arial"/>
              </w:rPr>
            </w:pPr>
          </w:p>
        </w:tc>
      </w:tr>
      <w:tr w:rsidR="00DB6975" w:rsidRPr="003A680B" w14:paraId="1CBF7F02" w14:textId="77777777" w:rsidTr="00DB6975">
        <w:trPr>
          <w:trHeight w:val="255"/>
        </w:trPr>
        <w:tc>
          <w:tcPr>
            <w:tcW w:w="21875" w:type="dxa"/>
            <w:gridSpan w:val="21"/>
            <w:tcBorders>
              <w:top w:val="nil"/>
              <w:left w:val="nil"/>
              <w:bottom w:val="nil"/>
              <w:right w:val="nil"/>
            </w:tcBorders>
            <w:noWrap/>
            <w:vAlign w:val="bottom"/>
            <w:hideMark/>
          </w:tcPr>
          <w:p w14:paraId="51A9DF7F" w14:textId="27BBA530" w:rsidR="00DB6975" w:rsidRPr="003A680B" w:rsidRDefault="00DB6975" w:rsidP="005A75BC">
            <w:pPr>
              <w:rPr>
                <w:rFonts w:ascii="Arial" w:hAnsi="Arial" w:cs="Arial"/>
              </w:rPr>
            </w:pPr>
            <w:r w:rsidRPr="003A680B">
              <w:rPr>
                <w:rFonts w:ascii="Arial" w:hAnsi="Arial" w:cs="Arial"/>
              </w:rPr>
              <w:t xml:space="preserve">If applicable, prepare a note disclosure in the attached </w:t>
            </w:r>
            <w:r w:rsidR="000C7E6E" w:rsidRPr="000C7E6E">
              <w:rPr>
                <w:rFonts w:ascii="Arial" w:hAnsi="Arial" w:cs="Arial"/>
                <w:b/>
                <w:bCs/>
                <w:u w:val="single"/>
              </w:rPr>
              <w:t>A</w:t>
            </w:r>
            <w:r w:rsidR="002C78E7">
              <w:rPr>
                <w:rFonts w:ascii="Arial" w:hAnsi="Arial" w:cs="Arial"/>
                <w:b/>
                <w:bCs/>
                <w:u w:val="single"/>
              </w:rPr>
              <w:t>CFR</w:t>
            </w:r>
            <w:r w:rsidRPr="000C7E6E">
              <w:rPr>
                <w:rFonts w:ascii="Arial" w:hAnsi="Arial" w:cs="Arial"/>
                <w:b/>
                <w:bCs/>
                <w:u w:val="single"/>
              </w:rPr>
              <w:t xml:space="preserve"> </w:t>
            </w:r>
            <w:r w:rsidRPr="003A680B">
              <w:rPr>
                <w:rFonts w:ascii="Arial" w:hAnsi="Arial" w:cs="Arial"/>
                <w:b/>
                <w:bCs/>
                <w:u w:val="single"/>
              </w:rPr>
              <w:t>Package Narratives</w:t>
            </w:r>
            <w:r w:rsidRPr="003A680B">
              <w:rPr>
                <w:rFonts w:ascii="Arial" w:hAnsi="Arial" w:cs="Arial"/>
              </w:rPr>
              <w:t xml:space="preserve"> that includes the</w:t>
            </w:r>
          </w:p>
        </w:tc>
        <w:tc>
          <w:tcPr>
            <w:tcW w:w="516" w:type="dxa"/>
            <w:tcBorders>
              <w:top w:val="nil"/>
              <w:left w:val="nil"/>
              <w:bottom w:val="nil"/>
              <w:right w:val="nil"/>
            </w:tcBorders>
            <w:noWrap/>
            <w:vAlign w:val="bottom"/>
            <w:hideMark/>
          </w:tcPr>
          <w:p w14:paraId="7CEFF60E" w14:textId="77777777" w:rsidR="00DB6975" w:rsidRPr="003A680B" w:rsidRDefault="00DB6975" w:rsidP="005A75BC">
            <w:pPr>
              <w:rPr>
                <w:rFonts w:ascii="Arial" w:hAnsi="Arial" w:cs="Arial"/>
              </w:rPr>
            </w:pPr>
          </w:p>
        </w:tc>
      </w:tr>
      <w:tr w:rsidR="00DB6975" w:rsidRPr="003A680B" w14:paraId="13CB3275" w14:textId="77777777" w:rsidTr="00DB6975">
        <w:trPr>
          <w:trHeight w:val="255"/>
        </w:trPr>
        <w:tc>
          <w:tcPr>
            <w:tcW w:w="22391" w:type="dxa"/>
            <w:gridSpan w:val="22"/>
            <w:tcBorders>
              <w:top w:val="nil"/>
              <w:left w:val="nil"/>
              <w:bottom w:val="nil"/>
              <w:right w:val="nil"/>
            </w:tcBorders>
            <w:noWrap/>
            <w:vAlign w:val="bottom"/>
            <w:hideMark/>
          </w:tcPr>
          <w:p w14:paraId="79783661" w14:textId="77777777" w:rsidR="00DB6975" w:rsidRPr="003A680B" w:rsidRDefault="00DB6975" w:rsidP="005A75BC">
            <w:pPr>
              <w:rPr>
                <w:rFonts w:ascii="Arial" w:hAnsi="Arial" w:cs="Arial"/>
              </w:rPr>
            </w:pPr>
            <w:r w:rsidRPr="003A680B">
              <w:rPr>
                <w:rFonts w:ascii="Arial" w:hAnsi="Arial" w:cs="Arial"/>
              </w:rPr>
              <w:t>following information about specific revenues pledged:</w:t>
            </w:r>
          </w:p>
        </w:tc>
      </w:tr>
      <w:tr w:rsidR="00DB6975" w:rsidRPr="003A680B" w14:paraId="7BFF4094" w14:textId="77777777" w:rsidTr="00DB6975">
        <w:trPr>
          <w:trHeight w:val="255"/>
        </w:trPr>
        <w:tc>
          <w:tcPr>
            <w:tcW w:w="11561" w:type="dxa"/>
            <w:gridSpan w:val="9"/>
            <w:tcBorders>
              <w:top w:val="nil"/>
              <w:left w:val="nil"/>
              <w:bottom w:val="nil"/>
              <w:right w:val="nil"/>
            </w:tcBorders>
            <w:noWrap/>
            <w:vAlign w:val="bottom"/>
            <w:hideMark/>
          </w:tcPr>
          <w:p w14:paraId="755B78DC" w14:textId="77777777" w:rsidR="00DB6975" w:rsidRPr="003A680B" w:rsidRDefault="00DB6975" w:rsidP="005A75BC">
            <w:pPr>
              <w:rPr>
                <w:rFonts w:ascii="Arial" w:hAnsi="Arial" w:cs="Arial"/>
              </w:rPr>
            </w:pPr>
          </w:p>
        </w:tc>
        <w:tc>
          <w:tcPr>
            <w:tcW w:w="725" w:type="dxa"/>
            <w:tcBorders>
              <w:top w:val="nil"/>
              <w:left w:val="nil"/>
              <w:bottom w:val="nil"/>
              <w:right w:val="nil"/>
            </w:tcBorders>
            <w:noWrap/>
            <w:vAlign w:val="bottom"/>
            <w:hideMark/>
          </w:tcPr>
          <w:p w14:paraId="51387F44" w14:textId="77777777" w:rsidR="00DB6975" w:rsidRPr="003A680B" w:rsidRDefault="00DB6975" w:rsidP="005A75BC">
            <w:pPr>
              <w:rPr>
                <w:rFonts w:ascii="Arial" w:hAnsi="Arial" w:cs="Arial"/>
              </w:rPr>
            </w:pPr>
          </w:p>
        </w:tc>
        <w:tc>
          <w:tcPr>
            <w:tcW w:w="723" w:type="dxa"/>
            <w:tcBorders>
              <w:top w:val="nil"/>
              <w:left w:val="nil"/>
              <w:bottom w:val="nil"/>
              <w:right w:val="nil"/>
            </w:tcBorders>
            <w:noWrap/>
            <w:vAlign w:val="bottom"/>
            <w:hideMark/>
          </w:tcPr>
          <w:p w14:paraId="7F772A8B" w14:textId="77777777" w:rsidR="00DB6975" w:rsidRPr="003A680B" w:rsidRDefault="00DB6975" w:rsidP="005A75BC">
            <w:pPr>
              <w:rPr>
                <w:rFonts w:ascii="Arial" w:hAnsi="Arial" w:cs="Arial"/>
              </w:rPr>
            </w:pPr>
          </w:p>
        </w:tc>
        <w:tc>
          <w:tcPr>
            <w:tcW w:w="622" w:type="dxa"/>
            <w:tcBorders>
              <w:top w:val="nil"/>
              <w:left w:val="nil"/>
              <w:bottom w:val="nil"/>
              <w:right w:val="nil"/>
            </w:tcBorders>
            <w:noWrap/>
            <w:vAlign w:val="bottom"/>
            <w:hideMark/>
          </w:tcPr>
          <w:p w14:paraId="19A80458" w14:textId="77777777" w:rsidR="00DB6975" w:rsidRPr="003A680B" w:rsidRDefault="00DB6975" w:rsidP="005A75BC">
            <w:pPr>
              <w:rPr>
                <w:rFonts w:ascii="Arial" w:hAnsi="Arial" w:cs="Arial"/>
              </w:rPr>
            </w:pPr>
          </w:p>
        </w:tc>
        <w:tc>
          <w:tcPr>
            <w:tcW w:w="622" w:type="dxa"/>
            <w:tcBorders>
              <w:top w:val="nil"/>
              <w:left w:val="nil"/>
              <w:bottom w:val="nil"/>
              <w:right w:val="nil"/>
            </w:tcBorders>
            <w:noWrap/>
            <w:vAlign w:val="bottom"/>
            <w:hideMark/>
          </w:tcPr>
          <w:p w14:paraId="5DBB6288" w14:textId="77777777" w:rsidR="00DB6975" w:rsidRPr="003A680B" w:rsidRDefault="00DB6975" w:rsidP="005A75BC">
            <w:pPr>
              <w:rPr>
                <w:rFonts w:ascii="Arial" w:hAnsi="Arial" w:cs="Arial"/>
              </w:rPr>
            </w:pPr>
          </w:p>
        </w:tc>
        <w:tc>
          <w:tcPr>
            <w:tcW w:w="622" w:type="dxa"/>
            <w:tcBorders>
              <w:top w:val="nil"/>
              <w:left w:val="nil"/>
              <w:bottom w:val="nil"/>
              <w:right w:val="nil"/>
            </w:tcBorders>
            <w:noWrap/>
            <w:vAlign w:val="bottom"/>
            <w:hideMark/>
          </w:tcPr>
          <w:p w14:paraId="78BFEEF1" w14:textId="77777777" w:rsidR="00DB6975" w:rsidRPr="003A680B" w:rsidRDefault="00DB6975" w:rsidP="005A75BC">
            <w:pPr>
              <w:rPr>
                <w:rFonts w:ascii="Arial" w:hAnsi="Arial" w:cs="Arial"/>
              </w:rPr>
            </w:pPr>
          </w:p>
        </w:tc>
        <w:tc>
          <w:tcPr>
            <w:tcW w:w="389" w:type="dxa"/>
            <w:tcBorders>
              <w:top w:val="nil"/>
              <w:left w:val="nil"/>
              <w:bottom w:val="nil"/>
              <w:right w:val="nil"/>
            </w:tcBorders>
            <w:noWrap/>
            <w:vAlign w:val="bottom"/>
            <w:hideMark/>
          </w:tcPr>
          <w:p w14:paraId="763E9732" w14:textId="77777777" w:rsidR="00DB6975" w:rsidRPr="003A680B" w:rsidRDefault="00DB6975" w:rsidP="005A75BC">
            <w:pPr>
              <w:rPr>
                <w:rFonts w:ascii="Arial" w:hAnsi="Arial" w:cs="Arial"/>
              </w:rPr>
            </w:pPr>
          </w:p>
        </w:tc>
        <w:tc>
          <w:tcPr>
            <w:tcW w:w="389" w:type="dxa"/>
            <w:tcBorders>
              <w:top w:val="nil"/>
              <w:left w:val="nil"/>
              <w:bottom w:val="nil"/>
              <w:right w:val="nil"/>
            </w:tcBorders>
            <w:noWrap/>
            <w:vAlign w:val="bottom"/>
            <w:hideMark/>
          </w:tcPr>
          <w:p w14:paraId="5A3B5EE9" w14:textId="77777777" w:rsidR="00DB6975" w:rsidRPr="003A680B" w:rsidRDefault="00DB6975" w:rsidP="005A75BC">
            <w:pPr>
              <w:rPr>
                <w:rFonts w:ascii="Arial" w:hAnsi="Arial" w:cs="Arial"/>
              </w:rPr>
            </w:pPr>
          </w:p>
        </w:tc>
        <w:tc>
          <w:tcPr>
            <w:tcW w:w="374" w:type="dxa"/>
            <w:tcBorders>
              <w:top w:val="nil"/>
              <w:left w:val="nil"/>
              <w:bottom w:val="nil"/>
              <w:right w:val="nil"/>
            </w:tcBorders>
            <w:noWrap/>
            <w:vAlign w:val="bottom"/>
            <w:hideMark/>
          </w:tcPr>
          <w:p w14:paraId="32B4F354" w14:textId="77777777" w:rsidR="00DB6975" w:rsidRPr="003A680B" w:rsidRDefault="00DB6975" w:rsidP="005A75BC">
            <w:pPr>
              <w:rPr>
                <w:rFonts w:ascii="Arial" w:hAnsi="Arial" w:cs="Arial"/>
              </w:rPr>
            </w:pPr>
          </w:p>
        </w:tc>
        <w:tc>
          <w:tcPr>
            <w:tcW w:w="684" w:type="dxa"/>
            <w:tcBorders>
              <w:top w:val="nil"/>
              <w:left w:val="nil"/>
              <w:bottom w:val="nil"/>
              <w:right w:val="nil"/>
            </w:tcBorders>
            <w:noWrap/>
            <w:vAlign w:val="bottom"/>
            <w:hideMark/>
          </w:tcPr>
          <w:p w14:paraId="62E79975" w14:textId="77777777" w:rsidR="00DB6975" w:rsidRPr="003A680B" w:rsidRDefault="00DB6975" w:rsidP="005A75BC">
            <w:pPr>
              <w:rPr>
                <w:rFonts w:ascii="Arial" w:hAnsi="Arial" w:cs="Arial"/>
              </w:rPr>
            </w:pPr>
          </w:p>
        </w:tc>
        <w:tc>
          <w:tcPr>
            <w:tcW w:w="4106" w:type="dxa"/>
            <w:tcBorders>
              <w:top w:val="nil"/>
              <w:left w:val="nil"/>
              <w:bottom w:val="nil"/>
              <w:right w:val="nil"/>
            </w:tcBorders>
            <w:noWrap/>
            <w:vAlign w:val="bottom"/>
            <w:hideMark/>
          </w:tcPr>
          <w:p w14:paraId="69F70354" w14:textId="77777777" w:rsidR="00DB6975" w:rsidRPr="003A680B" w:rsidRDefault="00DB6975" w:rsidP="005A75BC">
            <w:pPr>
              <w:rPr>
                <w:rFonts w:ascii="Arial" w:hAnsi="Arial" w:cs="Arial"/>
              </w:rPr>
            </w:pPr>
          </w:p>
        </w:tc>
        <w:tc>
          <w:tcPr>
            <w:tcW w:w="684" w:type="dxa"/>
            <w:tcBorders>
              <w:top w:val="nil"/>
              <w:left w:val="nil"/>
              <w:bottom w:val="nil"/>
              <w:right w:val="nil"/>
            </w:tcBorders>
            <w:noWrap/>
            <w:vAlign w:val="bottom"/>
            <w:hideMark/>
          </w:tcPr>
          <w:p w14:paraId="4447A7F3" w14:textId="77777777" w:rsidR="00DB6975" w:rsidRPr="003A680B" w:rsidRDefault="00DB6975" w:rsidP="005A75BC">
            <w:pPr>
              <w:rPr>
                <w:rFonts w:ascii="Arial" w:hAnsi="Arial" w:cs="Arial"/>
              </w:rPr>
            </w:pPr>
          </w:p>
        </w:tc>
        <w:tc>
          <w:tcPr>
            <w:tcW w:w="374" w:type="dxa"/>
            <w:tcBorders>
              <w:top w:val="nil"/>
              <w:left w:val="nil"/>
              <w:bottom w:val="nil"/>
              <w:right w:val="nil"/>
            </w:tcBorders>
            <w:noWrap/>
            <w:vAlign w:val="bottom"/>
            <w:hideMark/>
          </w:tcPr>
          <w:p w14:paraId="0C02E77A" w14:textId="77777777" w:rsidR="00DB6975" w:rsidRPr="003A680B" w:rsidRDefault="00DB6975" w:rsidP="005A75BC">
            <w:pPr>
              <w:rPr>
                <w:rFonts w:ascii="Arial" w:hAnsi="Arial" w:cs="Arial"/>
              </w:rPr>
            </w:pPr>
          </w:p>
        </w:tc>
        <w:tc>
          <w:tcPr>
            <w:tcW w:w="516" w:type="dxa"/>
            <w:tcBorders>
              <w:top w:val="nil"/>
              <w:left w:val="nil"/>
              <w:bottom w:val="nil"/>
              <w:right w:val="nil"/>
            </w:tcBorders>
            <w:noWrap/>
            <w:vAlign w:val="bottom"/>
            <w:hideMark/>
          </w:tcPr>
          <w:p w14:paraId="6676F0C2" w14:textId="77777777" w:rsidR="00DB6975" w:rsidRPr="003A680B" w:rsidRDefault="00DB6975" w:rsidP="005A75BC">
            <w:pPr>
              <w:rPr>
                <w:rFonts w:ascii="Arial" w:hAnsi="Arial" w:cs="Arial"/>
              </w:rPr>
            </w:pPr>
          </w:p>
        </w:tc>
      </w:tr>
      <w:tr w:rsidR="00DB6975" w:rsidRPr="003A680B" w14:paraId="4A5E1C3D" w14:textId="77777777" w:rsidTr="00655BF1">
        <w:trPr>
          <w:trHeight w:val="261"/>
        </w:trPr>
        <w:tc>
          <w:tcPr>
            <w:tcW w:w="11561" w:type="dxa"/>
            <w:gridSpan w:val="9"/>
            <w:tcBorders>
              <w:top w:val="nil"/>
              <w:left w:val="nil"/>
              <w:bottom w:val="nil"/>
              <w:right w:val="nil"/>
            </w:tcBorders>
            <w:noWrap/>
            <w:vAlign w:val="bottom"/>
            <w:hideMark/>
          </w:tcPr>
          <w:tbl>
            <w:tblPr>
              <w:tblW w:w="9096" w:type="dxa"/>
              <w:tblLook w:val="04A0" w:firstRow="1" w:lastRow="0" w:firstColumn="1" w:lastColumn="0" w:noHBand="0" w:noVBand="1"/>
            </w:tblPr>
            <w:tblGrid>
              <w:gridCol w:w="8722"/>
              <w:gridCol w:w="222"/>
              <w:gridCol w:w="222"/>
              <w:gridCol w:w="222"/>
              <w:gridCol w:w="222"/>
              <w:gridCol w:w="222"/>
              <w:gridCol w:w="222"/>
              <w:gridCol w:w="222"/>
              <w:gridCol w:w="222"/>
              <w:gridCol w:w="222"/>
              <w:gridCol w:w="222"/>
            </w:tblGrid>
            <w:tr w:rsidR="00DB6975" w:rsidRPr="003A680B" w14:paraId="3B98C8B4" w14:textId="77777777" w:rsidTr="005A75BC">
              <w:trPr>
                <w:trHeight w:val="255"/>
              </w:trPr>
              <w:tc>
                <w:tcPr>
                  <w:tcW w:w="9096" w:type="dxa"/>
                  <w:gridSpan w:val="11"/>
                  <w:tcBorders>
                    <w:top w:val="nil"/>
                    <w:left w:val="nil"/>
                    <w:bottom w:val="nil"/>
                    <w:right w:val="nil"/>
                  </w:tcBorders>
                  <w:noWrap/>
                  <w:vAlign w:val="bottom"/>
                  <w:hideMark/>
                </w:tcPr>
                <w:p w14:paraId="0A5D6282" w14:textId="77777777" w:rsidR="00DB6975" w:rsidRPr="003A680B" w:rsidRDefault="00DB6975" w:rsidP="005A75BC">
                  <w:pPr>
                    <w:numPr>
                      <w:ilvl w:val="0"/>
                      <w:numId w:val="23"/>
                    </w:numPr>
                    <w:rPr>
                      <w:rFonts w:ascii="Arial" w:hAnsi="Arial" w:cs="Arial"/>
                    </w:rPr>
                  </w:pPr>
                  <w:r w:rsidRPr="003A680B">
                    <w:rPr>
                      <w:rFonts w:ascii="Arial" w:hAnsi="Arial" w:cs="Arial"/>
                    </w:rPr>
                    <w:t>Identification of the specific revenue pledged and the approximate amount of the pledge.  Generally,</w:t>
                  </w:r>
                </w:p>
              </w:tc>
            </w:tr>
            <w:tr w:rsidR="00DB6975" w:rsidRPr="003A680B" w14:paraId="2F430634" w14:textId="77777777" w:rsidTr="005A75BC">
              <w:trPr>
                <w:trHeight w:val="255"/>
              </w:trPr>
              <w:tc>
                <w:tcPr>
                  <w:tcW w:w="9096" w:type="dxa"/>
                  <w:gridSpan w:val="11"/>
                  <w:tcBorders>
                    <w:top w:val="nil"/>
                    <w:left w:val="nil"/>
                    <w:bottom w:val="nil"/>
                    <w:right w:val="nil"/>
                  </w:tcBorders>
                  <w:noWrap/>
                  <w:vAlign w:val="bottom"/>
                  <w:hideMark/>
                </w:tcPr>
                <w:p w14:paraId="6F58730F" w14:textId="77777777" w:rsidR="00DB6975" w:rsidRPr="003A680B" w:rsidRDefault="00DB6975" w:rsidP="005A75BC">
                  <w:pPr>
                    <w:ind w:left="720"/>
                    <w:rPr>
                      <w:rFonts w:ascii="Arial" w:hAnsi="Arial" w:cs="Arial"/>
                    </w:rPr>
                  </w:pPr>
                  <w:r w:rsidRPr="003A680B">
                    <w:rPr>
                      <w:rFonts w:ascii="Arial" w:hAnsi="Arial" w:cs="Arial"/>
                    </w:rPr>
                    <w:t>the approximate amount of the pledge would be equal to the remaining principal and interest</w:t>
                  </w:r>
                  <w:r w:rsidR="001D4A0F">
                    <w:rPr>
                      <w:rFonts w:ascii="Arial" w:hAnsi="Arial" w:cs="Arial"/>
                    </w:rPr>
                    <w:t xml:space="preserve"> </w:t>
                  </w:r>
                </w:p>
              </w:tc>
            </w:tr>
            <w:tr w:rsidR="00DB6975" w:rsidRPr="003A680B" w14:paraId="446ED72A" w14:textId="77777777" w:rsidTr="005A75BC">
              <w:trPr>
                <w:trHeight w:val="255"/>
              </w:trPr>
              <w:tc>
                <w:tcPr>
                  <w:tcW w:w="8837" w:type="dxa"/>
                  <w:gridSpan w:val="4"/>
                  <w:tcBorders>
                    <w:top w:val="nil"/>
                    <w:left w:val="nil"/>
                    <w:bottom w:val="nil"/>
                    <w:right w:val="nil"/>
                  </w:tcBorders>
                  <w:noWrap/>
                  <w:vAlign w:val="bottom"/>
                  <w:hideMark/>
                </w:tcPr>
                <w:p w14:paraId="3951C731" w14:textId="77777777" w:rsidR="00DB6975" w:rsidRPr="003A680B" w:rsidRDefault="00DB6975" w:rsidP="005A75BC">
                  <w:pPr>
                    <w:ind w:left="720"/>
                    <w:rPr>
                      <w:rFonts w:ascii="Arial" w:hAnsi="Arial" w:cs="Arial"/>
                    </w:rPr>
                  </w:pPr>
                  <w:r w:rsidRPr="003A680B">
                    <w:rPr>
                      <w:rFonts w:ascii="Arial" w:hAnsi="Arial" w:cs="Arial"/>
                    </w:rPr>
                    <w:t>requirements of the secured debt.</w:t>
                  </w:r>
                </w:p>
              </w:tc>
              <w:tc>
                <w:tcPr>
                  <w:tcW w:w="37" w:type="dxa"/>
                  <w:tcBorders>
                    <w:top w:val="nil"/>
                    <w:left w:val="nil"/>
                    <w:bottom w:val="nil"/>
                    <w:right w:val="nil"/>
                  </w:tcBorders>
                  <w:noWrap/>
                  <w:vAlign w:val="bottom"/>
                  <w:hideMark/>
                </w:tcPr>
                <w:p w14:paraId="11537586"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49D05D89"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59A13206"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1809078B"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2D732089"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34B3F4B9"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76C02596" w14:textId="77777777" w:rsidR="00DB6975" w:rsidRPr="003A680B" w:rsidRDefault="00DB6975" w:rsidP="005A75BC">
                  <w:pPr>
                    <w:rPr>
                      <w:rFonts w:ascii="Arial" w:hAnsi="Arial" w:cs="Arial"/>
                    </w:rPr>
                  </w:pPr>
                </w:p>
              </w:tc>
            </w:tr>
            <w:tr w:rsidR="00DB6975" w:rsidRPr="003A680B" w14:paraId="41618F76" w14:textId="77777777" w:rsidTr="005A75BC">
              <w:trPr>
                <w:trHeight w:val="255"/>
              </w:trPr>
              <w:tc>
                <w:tcPr>
                  <w:tcW w:w="9096" w:type="dxa"/>
                  <w:gridSpan w:val="11"/>
                  <w:tcBorders>
                    <w:top w:val="nil"/>
                    <w:left w:val="nil"/>
                    <w:bottom w:val="nil"/>
                    <w:right w:val="nil"/>
                  </w:tcBorders>
                  <w:noWrap/>
                  <w:vAlign w:val="bottom"/>
                  <w:hideMark/>
                </w:tcPr>
                <w:p w14:paraId="6B4140D8" w14:textId="77777777" w:rsidR="00DB6975" w:rsidRPr="003A680B" w:rsidRDefault="00DB6975" w:rsidP="005A75BC">
                  <w:pPr>
                    <w:numPr>
                      <w:ilvl w:val="0"/>
                      <w:numId w:val="23"/>
                    </w:numPr>
                    <w:rPr>
                      <w:rFonts w:ascii="Arial" w:hAnsi="Arial" w:cs="Arial"/>
                    </w:rPr>
                  </w:pPr>
                  <w:r w:rsidRPr="003A680B">
                    <w:rPr>
                      <w:rFonts w:ascii="Arial" w:hAnsi="Arial" w:cs="Arial"/>
                    </w:rPr>
                    <w:t>Identification of, and general purpose for, the debt secured by the pledged revenue.</w:t>
                  </w:r>
                </w:p>
              </w:tc>
            </w:tr>
            <w:tr w:rsidR="00DB6975" w:rsidRPr="003A680B" w14:paraId="0A1D261F" w14:textId="77777777" w:rsidTr="005A75BC">
              <w:trPr>
                <w:trHeight w:val="255"/>
              </w:trPr>
              <w:tc>
                <w:tcPr>
                  <w:tcW w:w="9096" w:type="dxa"/>
                  <w:gridSpan w:val="11"/>
                  <w:tcBorders>
                    <w:top w:val="nil"/>
                    <w:left w:val="nil"/>
                    <w:bottom w:val="nil"/>
                    <w:right w:val="nil"/>
                  </w:tcBorders>
                  <w:noWrap/>
                  <w:vAlign w:val="bottom"/>
                  <w:hideMark/>
                </w:tcPr>
                <w:p w14:paraId="56C97869" w14:textId="77777777" w:rsidR="00DB6975" w:rsidRPr="003A680B" w:rsidRDefault="00DB6975" w:rsidP="005A75BC">
                  <w:pPr>
                    <w:numPr>
                      <w:ilvl w:val="0"/>
                      <w:numId w:val="23"/>
                    </w:numPr>
                    <w:rPr>
                      <w:rFonts w:ascii="Arial" w:hAnsi="Arial" w:cs="Arial"/>
                    </w:rPr>
                  </w:pPr>
                  <w:r w:rsidRPr="003A680B">
                    <w:rPr>
                      <w:rFonts w:ascii="Arial" w:hAnsi="Arial" w:cs="Arial"/>
                    </w:rPr>
                    <w:t xml:space="preserve">The term of the </w:t>
                  </w:r>
                  <w:proofErr w:type="gramStart"/>
                  <w:r w:rsidRPr="003A680B">
                    <w:rPr>
                      <w:rFonts w:ascii="Arial" w:hAnsi="Arial" w:cs="Arial"/>
                    </w:rPr>
                    <w:t>commitment—that</w:t>
                  </w:r>
                  <w:proofErr w:type="gramEnd"/>
                  <w:r w:rsidRPr="003A680B">
                    <w:rPr>
                      <w:rFonts w:ascii="Arial" w:hAnsi="Arial" w:cs="Arial"/>
                    </w:rPr>
                    <w:t xml:space="preserve"> is, the period during which the revenue will </w:t>
                  </w:r>
                  <w:r w:rsidRPr="00322259">
                    <w:rPr>
                      <w:rFonts w:ascii="Arial" w:hAnsi="Arial" w:cs="Arial"/>
                      <w:b/>
                      <w:bCs/>
                    </w:rPr>
                    <w:t>not</w:t>
                  </w:r>
                  <w:r w:rsidRPr="003A680B">
                    <w:rPr>
                      <w:rFonts w:ascii="Arial" w:hAnsi="Arial" w:cs="Arial"/>
                    </w:rPr>
                    <w:t xml:space="preserve"> be available for</w:t>
                  </w:r>
                </w:p>
              </w:tc>
            </w:tr>
            <w:tr w:rsidR="00DB6975" w:rsidRPr="003A680B" w14:paraId="0B442D3D" w14:textId="77777777" w:rsidTr="005A75BC">
              <w:trPr>
                <w:trHeight w:val="255"/>
              </w:trPr>
              <w:tc>
                <w:tcPr>
                  <w:tcW w:w="8722" w:type="dxa"/>
                  <w:tcBorders>
                    <w:top w:val="nil"/>
                    <w:left w:val="nil"/>
                    <w:bottom w:val="nil"/>
                    <w:right w:val="nil"/>
                  </w:tcBorders>
                  <w:noWrap/>
                  <w:vAlign w:val="bottom"/>
                  <w:hideMark/>
                </w:tcPr>
                <w:p w14:paraId="1B4C1BCD" w14:textId="77777777" w:rsidR="00DB6975" w:rsidRPr="003A680B" w:rsidRDefault="00DB6975" w:rsidP="005A75BC">
                  <w:pPr>
                    <w:ind w:left="720"/>
                    <w:rPr>
                      <w:rFonts w:ascii="Arial" w:hAnsi="Arial" w:cs="Arial"/>
                    </w:rPr>
                  </w:pPr>
                  <w:r w:rsidRPr="003A680B">
                    <w:rPr>
                      <w:rFonts w:ascii="Arial" w:hAnsi="Arial" w:cs="Arial"/>
                    </w:rPr>
                    <w:t>other purposes.</w:t>
                  </w:r>
                </w:p>
              </w:tc>
              <w:tc>
                <w:tcPr>
                  <w:tcW w:w="39" w:type="dxa"/>
                  <w:tcBorders>
                    <w:top w:val="nil"/>
                    <w:left w:val="nil"/>
                    <w:bottom w:val="nil"/>
                    <w:right w:val="nil"/>
                  </w:tcBorders>
                  <w:noWrap/>
                  <w:vAlign w:val="bottom"/>
                  <w:hideMark/>
                </w:tcPr>
                <w:p w14:paraId="51D34536" w14:textId="77777777" w:rsidR="00DB6975" w:rsidRPr="003A680B" w:rsidRDefault="00DB6975" w:rsidP="005A75BC">
                  <w:pPr>
                    <w:numPr>
                      <w:ilvl w:val="0"/>
                      <w:numId w:val="23"/>
                    </w:numPr>
                    <w:rPr>
                      <w:rFonts w:ascii="Arial" w:hAnsi="Arial" w:cs="Arial"/>
                    </w:rPr>
                  </w:pPr>
                </w:p>
              </w:tc>
              <w:tc>
                <w:tcPr>
                  <w:tcW w:w="38" w:type="dxa"/>
                  <w:tcBorders>
                    <w:top w:val="nil"/>
                    <w:left w:val="nil"/>
                    <w:bottom w:val="nil"/>
                    <w:right w:val="nil"/>
                  </w:tcBorders>
                  <w:noWrap/>
                  <w:vAlign w:val="bottom"/>
                  <w:hideMark/>
                </w:tcPr>
                <w:p w14:paraId="31131C3C" w14:textId="77777777" w:rsidR="00DB6975" w:rsidRPr="003A680B" w:rsidRDefault="00DB6975" w:rsidP="005A75BC">
                  <w:pPr>
                    <w:rPr>
                      <w:rFonts w:ascii="Arial" w:hAnsi="Arial" w:cs="Arial"/>
                    </w:rPr>
                  </w:pPr>
                </w:p>
              </w:tc>
              <w:tc>
                <w:tcPr>
                  <w:tcW w:w="38" w:type="dxa"/>
                  <w:tcBorders>
                    <w:top w:val="nil"/>
                    <w:left w:val="nil"/>
                    <w:bottom w:val="nil"/>
                    <w:right w:val="nil"/>
                  </w:tcBorders>
                  <w:noWrap/>
                  <w:vAlign w:val="bottom"/>
                  <w:hideMark/>
                </w:tcPr>
                <w:p w14:paraId="452EE7B0"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337B2620"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167275A4"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4017CA27"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6BB30F22"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4F588ACE"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12D1D9A1"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1796B255" w14:textId="77777777" w:rsidR="00DB6975" w:rsidRPr="003A680B" w:rsidRDefault="00DB6975" w:rsidP="005A75BC">
                  <w:pPr>
                    <w:rPr>
                      <w:rFonts w:ascii="Arial" w:hAnsi="Arial" w:cs="Arial"/>
                    </w:rPr>
                  </w:pPr>
                </w:p>
              </w:tc>
            </w:tr>
            <w:tr w:rsidR="00DB6975" w:rsidRPr="003A680B" w14:paraId="73F7A9C4" w14:textId="77777777" w:rsidTr="005A75BC">
              <w:trPr>
                <w:trHeight w:val="255"/>
              </w:trPr>
              <w:tc>
                <w:tcPr>
                  <w:tcW w:w="9096" w:type="dxa"/>
                  <w:gridSpan w:val="11"/>
                  <w:tcBorders>
                    <w:top w:val="nil"/>
                    <w:left w:val="nil"/>
                    <w:bottom w:val="nil"/>
                    <w:right w:val="nil"/>
                  </w:tcBorders>
                  <w:noWrap/>
                  <w:vAlign w:val="bottom"/>
                  <w:hideMark/>
                </w:tcPr>
                <w:p w14:paraId="51884624" w14:textId="77777777" w:rsidR="00DB6975" w:rsidRPr="003A680B" w:rsidRDefault="00DB6975" w:rsidP="005A75BC">
                  <w:pPr>
                    <w:numPr>
                      <w:ilvl w:val="0"/>
                      <w:numId w:val="23"/>
                    </w:numPr>
                    <w:rPr>
                      <w:rFonts w:ascii="Arial" w:hAnsi="Arial" w:cs="Arial"/>
                    </w:rPr>
                  </w:pPr>
                  <w:r w:rsidRPr="003A680B">
                    <w:rPr>
                      <w:rFonts w:ascii="Arial" w:hAnsi="Arial" w:cs="Arial"/>
                    </w:rPr>
                    <w:t>The relationship of the pledged amount to the total for that specific revenue, if estimable—that is,</w:t>
                  </w:r>
                </w:p>
              </w:tc>
            </w:tr>
            <w:tr w:rsidR="00DB6975" w:rsidRPr="003A680B" w14:paraId="789A91EC" w14:textId="77777777" w:rsidTr="005A75BC">
              <w:trPr>
                <w:trHeight w:val="255"/>
              </w:trPr>
              <w:tc>
                <w:tcPr>
                  <w:tcW w:w="9022" w:type="dxa"/>
                  <w:gridSpan w:val="9"/>
                  <w:tcBorders>
                    <w:top w:val="nil"/>
                    <w:left w:val="nil"/>
                    <w:bottom w:val="nil"/>
                    <w:right w:val="nil"/>
                  </w:tcBorders>
                  <w:noWrap/>
                  <w:vAlign w:val="bottom"/>
                  <w:hideMark/>
                </w:tcPr>
                <w:p w14:paraId="7F38CA79" w14:textId="77777777" w:rsidR="00DB6975" w:rsidRPr="003A680B" w:rsidRDefault="00DB6975" w:rsidP="005A75BC">
                  <w:pPr>
                    <w:ind w:left="720"/>
                    <w:rPr>
                      <w:rFonts w:ascii="Arial" w:hAnsi="Arial" w:cs="Arial"/>
                    </w:rPr>
                  </w:pPr>
                  <w:r w:rsidRPr="003A680B">
                    <w:rPr>
                      <w:rFonts w:ascii="Arial" w:hAnsi="Arial" w:cs="Arial"/>
                    </w:rPr>
                    <w:t>the proportion of the specific revenue stream that has been pledged.</w:t>
                  </w:r>
                </w:p>
              </w:tc>
              <w:tc>
                <w:tcPr>
                  <w:tcW w:w="37" w:type="dxa"/>
                  <w:tcBorders>
                    <w:top w:val="nil"/>
                    <w:left w:val="nil"/>
                    <w:bottom w:val="nil"/>
                    <w:right w:val="nil"/>
                  </w:tcBorders>
                  <w:noWrap/>
                  <w:vAlign w:val="bottom"/>
                  <w:hideMark/>
                </w:tcPr>
                <w:p w14:paraId="40BC70FA"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18470BC0" w14:textId="77777777" w:rsidR="00DB6975" w:rsidRPr="003A680B" w:rsidRDefault="00DB6975" w:rsidP="005A75BC">
                  <w:pPr>
                    <w:rPr>
                      <w:rFonts w:ascii="Arial" w:hAnsi="Arial" w:cs="Arial"/>
                    </w:rPr>
                  </w:pPr>
                </w:p>
              </w:tc>
            </w:tr>
            <w:tr w:rsidR="00DB6975" w:rsidRPr="003A680B" w14:paraId="277DA4FD" w14:textId="77777777" w:rsidTr="005A75BC">
              <w:trPr>
                <w:trHeight w:val="255"/>
              </w:trPr>
              <w:tc>
                <w:tcPr>
                  <w:tcW w:w="9096" w:type="dxa"/>
                  <w:gridSpan w:val="11"/>
                  <w:tcBorders>
                    <w:top w:val="nil"/>
                    <w:left w:val="nil"/>
                    <w:bottom w:val="nil"/>
                    <w:right w:val="nil"/>
                  </w:tcBorders>
                  <w:noWrap/>
                  <w:vAlign w:val="bottom"/>
                  <w:hideMark/>
                </w:tcPr>
                <w:p w14:paraId="5CDD0E62" w14:textId="77777777" w:rsidR="00DB6975" w:rsidRPr="003A680B" w:rsidRDefault="00DB6975" w:rsidP="005A75BC">
                  <w:pPr>
                    <w:numPr>
                      <w:ilvl w:val="0"/>
                      <w:numId w:val="23"/>
                    </w:numPr>
                    <w:rPr>
                      <w:rFonts w:ascii="Arial" w:hAnsi="Arial" w:cs="Arial"/>
                    </w:rPr>
                  </w:pPr>
                  <w:r w:rsidRPr="003A680B">
                    <w:rPr>
                      <w:rFonts w:ascii="Arial" w:hAnsi="Arial" w:cs="Arial"/>
                    </w:rPr>
                    <w:t xml:space="preserve">A comparison of the pledged revenues recognized during the period to the principal and interest </w:t>
                  </w:r>
                </w:p>
              </w:tc>
            </w:tr>
            <w:tr w:rsidR="00DB6975" w:rsidRPr="003A680B" w14:paraId="20D6C582" w14:textId="77777777" w:rsidTr="005A75BC">
              <w:trPr>
                <w:trHeight w:val="255"/>
              </w:trPr>
              <w:tc>
                <w:tcPr>
                  <w:tcW w:w="9096" w:type="dxa"/>
                  <w:gridSpan w:val="11"/>
                  <w:tcBorders>
                    <w:top w:val="nil"/>
                    <w:left w:val="nil"/>
                    <w:bottom w:val="nil"/>
                    <w:right w:val="nil"/>
                  </w:tcBorders>
                  <w:noWrap/>
                  <w:vAlign w:val="bottom"/>
                  <w:hideMark/>
                </w:tcPr>
                <w:p w14:paraId="1A2F3A28" w14:textId="77777777" w:rsidR="00DB6975" w:rsidRPr="003A680B" w:rsidRDefault="00DB6975" w:rsidP="005A75BC">
                  <w:pPr>
                    <w:ind w:left="720"/>
                    <w:rPr>
                      <w:rFonts w:ascii="Arial" w:hAnsi="Arial" w:cs="Arial"/>
                    </w:rPr>
                  </w:pPr>
                  <w:r w:rsidRPr="003A680B">
                    <w:rPr>
                      <w:rFonts w:ascii="Arial" w:hAnsi="Arial" w:cs="Arial"/>
                    </w:rPr>
                    <w:t xml:space="preserve">requirements for the debt directly or indirectly collateralized by those revenues.  For this disclosure, </w:t>
                  </w:r>
                </w:p>
              </w:tc>
            </w:tr>
            <w:tr w:rsidR="00DB6975" w:rsidRPr="003A680B" w14:paraId="12283243" w14:textId="77777777" w:rsidTr="005A75BC">
              <w:trPr>
                <w:trHeight w:val="255"/>
              </w:trPr>
              <w:tc>
                <w:tcPr>
                  <w:tcW w:w="9096" w:type="dxa"/>
                  <w:gridSpan w:val="11"/>
                  <w:tcBorders>
                    <w:top w:val="nil"/>
                    <w:left w:val="nil"/>
                    <w:bottom w:val="nil"/>
                    <w:right w:val="nil"/>
                  </w:tcBorders>
                  <w:noWrap/>
                  <w:vAlign w:val="bottom"/>
                  <w:hideMark/>
                </w:tcPr>
                <w:p w14:paraId="6A63CFCF" w14:textId="77777777" w:rsidR="00DB6975" w:rsidRPr="003A680B" w:rsidRDefault="00DB6975" w:rsidP="005A75BC">
                  <w:pPr>
                    <w:ind w:left="720"/>
                    <w:rPr>
                      <w:rFonts w:ascii="Arial" w:hAnsi="Arial" w:cs="Arial"/>
                    </w:rPr>
                  </w:pPr>
                  <w:r w:rsidRPr="003A680B">
                    <w:rPr>
                      <w:rFonts w:ascii="Arial" w:hAnsi="Arial" w:cs="Arial"/>
                    </w:rPr>
                    <w:t xml:space="preserve">pledged revenues recognized during the period may be </w:t>
                  </w:r>
                  <w:proofErr w:type="gramStart"/>
                  <w:r w:rsidRPr="003A680B">
                    <w:rPr>
                      <w:rFonts w:ascii="Arial" w:hAnsi="Arial" w:cs="Arial"/>
                    </w:rPr>
                    <w:t>presented</w:t>
                  </w:r>
                  <w:proofErr w:type="gramEnd"/>
                  <w:r w:rsidRPr="003A680B">
                    <w:rPr>
                      <w:rFonts w:ascii="Arial" w:hAnsi="Arial" w:cs="Arial"/>
                    </w:rPr>
                    <w:t xml:space="preserve"> net of specified operating expenses,</w:t>
                  </w:r>
                </w:p>
              </w:tc>
            </w:tr>
            <w:tr w:rsidR="00DB6975" w:rsidRPr="003A680B" w14:paraId="0E57F5B7" w14:textId="77777777" w:rsidTr="005A75BC">
              <w:trPr>
                <w:trHeight w:val="255"/>
              </w:trPr>
              <w:tc>
                <w:tcPr>
                  <w:tcW w:w="9096" w:type="dxa"/>
                  <w:gridSpan w:val="11"/>
                  <w:tcBorders>
                    <w:top w:val="nil"/>
                    <w:left w:val="nil"/>
                    <w:bottom w:val="nil"/>
                    <w:right w:val="nil"/>
                  </w:tcBorders>
                  <w:noWrap/>
                  <w:vAlign w:val="bottom"/>
                  <w:hideMark/>
                </w:tcPr>
                <w:p w14:paraId="2B1CE3B2" w14:textId="77777777" w:rsidR="00DB6975" w:rsidRPr="003A680B" w:rsidRDefault="00DB6975" w:rsidP="005A75BC">
                  <w:pPr>
                    <w:ind w:left="720"/>
                    <w:rPr>
                      <w:rFonts w:ascii="Arial" w:hAnsi="Arial" w:cs="Arial"/>
                    </w:rPr>
                  </w:pPr>
                  <w:r w:rsidRPr="003A680B">
                    <w:rPr>
                      <w:rFonts w:ascii="Arial" w:hAnsi="Arial" w:cs="Arial"/>
                    </w:rPr>
                    <w:t>based on the provisions of the pledge agreement; however, the amounts should</w:t>
                  </w:r>
                  <w:r w:rsidRPr="0005321C">
                    <w:rPr>
                      <w:rFonts w:ascii="Arial" w:hAnsi="Arial" w:cs="Arial"/>
                      <w:b/>
                    </w:rPr>
                    <w:t xml:space="preserve"> not</w:t>
                  </w:r>
                  <w:r w:rsidRPr="003A680B">
                    <w:rPr>
                      <w:rFonts w:ascii="Arial" w:hAnsi="Arial" w:cs="Arial"/>
                    </w:rPr>
                    <w:t xml:space="preserve"> be netted in the</w:t>
                  </w:r>
                </w:p>
              </w:tc>
            </w:tr>
            <w:tr w:rsidR="00DB6975" w:rsidRPr="003A680B" w14:paraId="22E1CF5E" w14:textId="77777777" w:rsidTr="005A75BC">
              <w:trPr>
                <w:trHeight w:val="255"/>
              </w:trPr>
              <w:tc>
                <w:tcPr>
                  <w:tcW w:w="8761" w:type="dxa"/>
                  <w:gridSpan w:val="2"/>
                  <w:tcBorders>
                    <w:top w:val="nil"/>
                    <w:left w:val="nil"/>
                    <w:bottom w:val="nil"/>
                    <w:right w:val="nil"/>
                  </w:tcBorders>
                  <w:noWrap/>
                  <w:vAlign w:val="bottom"/>
                  <w:hideMark/>
                </w:tcPr>
                <w:p w14:paraId="5F7A1CFC" w14:textId="77777777" w:rsidR="00DB6975" w:rsidRDefault="00DB6975" w:rsidP="005A75BC">
                  <w:pPr>
                    <w:ind w:left="720"/>
                    <w:rPr>
                      <w:rFonts w:ascii="Arial" w:hAnsi="Arial" w:cs="Arial"/>
                    </w:rPr>
                  </w:pPr>
                  <w:r w:rsidRPr="003A680B">
                    <w:rPr>
                      <w:rFonts w:ascii="Arial" w:hAnsi="Arial" w:cs="Arial"/>
                    </w:rPr>
                    <w:t>financial statements.</w:t>
                  </w:r>
                </w:p>
                <w:p w14:paraId="6AB6CF87" w14:textId="77777777" w:rsidR="004527F1" w:rsidRPr="003A680B" w:rsidRDefault="004527F1" w:rsidP="005A75BC">
                  <w:pPr>
                    <w:ind w:left="720"/>
                    <w:rPr>
                      <w:rFonts w:ascii="Arial" w:hAnsi="Arial" w:cs="Arial"/>
                    </w:rPr>
                  </w:pPr>
                </w:p>
              </w:tc>
              <w:tc>
                <w:tcPr>
                  <w:tcW w:w="38" w:type="dxa"/>
                  <w:tcBorders>
                    <w:top w:val="nil"/>
                    <w:left w:val="nil"/>
                    <w:bottom w:val="nil"/>
                    <w:right w:val="nil"/>
                  </w:tcBorders>
                  <w:noWrap/>
                  <w:vAlign w:val="bottom"/>
                  <w:hideMark/>
                </w:tcPr>
                <w:p w14:paraId="02446209" w14:textId="77777777" w:rsidR="00DB6975" w:rsidRPr="003A680B" w:rsidRDefault="00DB6975" w:rsidP="005A75BC">
                  <w:pPr>
                    <w:rPr>
                      <w:rFonts w:ascii="Arial" w:hAnsi="Arial" w:cs="Arial"/>
                    </w:rPr>
                  </w:pPr>
                </w:p>
              </w:tc>
              <w:tc>
                <w:tcPr>
                  <w:tcW w:w="38" w:type="dxa"/>
                  <w:tcBorders>
                    <w:top w:val="nil"/>
                    <w:left w:val="nil"/>
                    <w:bottom w:val="nil"/>
                    <w:right w:val="nil"/>
                  </w:tcBorders>
                  <w:noWrap/>
                  <w:vAlign w:val="bottom"/>
                  <w:hideMark/>
                </w:tcPr>
                <w:p w14:paraId="1471ADA4"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681F3329"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0FFAA0C9"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1CF70049"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4AD2AC03"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0F1DD179"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05F9D565" w14:textId="77777777" w:rsidR="00DB6975" w:rsidRPr="003A680B" w:rsidRDefault="00DB6975" w:rsidP="005A75BC">
                  <w:pPr>
                    <w:rPr>
                      <w:rFonts w:ascii="Arial" w:hAnsi="Arial" w:cs="Arial"/>
                    </w:rPr>
                  </w:pPr>
                </w:p>
              </w:tc>
              <w:tc>
                <w:tcPr>
                  <w:tcW w:w="37" w:type="dxa"/>
                  <w:tcBorders>
                    <w:top w:val="nil"/>
                    <w:left w:val="nil"/>
                    <w:bottom w:val="nil"/>
                    <w:right w:val="nil"/>
                  </w:tcBorders>
                  <w:noWrap/>
                  <w:vAlign w:val="bottom"/>
                  <w:hideMark/>
                </w:tcPr>
                <w:p w14:paraId="5C7C2D46" w14:textId="77777777" w:rsidR="00DB6975" w:rsidRPr="003A680B" w:rsidRDefault="00DB6975" w:rsidP="005A75BC">
                  <w:pPr>
                    <w:rPr>
                      <w:rFonts w:ascii="Arial" w:hAnsi="Arial" w:cs="Arial"/>
                    </w:rPr>
                  </w:pPr>
                </w:p>
              </w:tc>
            </w:tr>
          </w:tbl>
          <w:p w14:paraId="4BDD0311" w14:textId="77777777" w:rsidR="00DB6975" w:rsidRPr="003A680B" w:rsidRDefault="00DB6975" w:rsidP="005A75BC">
            <w:pPr>
              <w:rPr>
                <w:rFonts w:ascii="Arial" w:hAnsi="Arial" w:cs="Arial"/>
              </w:rPr>
            </w:pPr>
          </w:p>
        </w:tc>
        <w:tc>
          <w:tcPr>
            <w:tcW w:w="10314" w:type="dxa"/>
            <w:gridSpan w:val="12"/>
            <w:tcBorders>
              <w:top w:val="nil"/>
              <w:left w:val="nil"/>
              <w:bottom w:val="nil"/>
              <w:right w:val="nil"/>
            </w:tcBorders>
            <w:noWrap/>
            <w:vAlign w:val="bottom"/>
            <w:hideMark/>
          </w:tcPr>
          <w:p w14:paraId="78CB8CAC" w14:textId="77777777" w:rsidR="00DB6975" w:rsidRPr="003A680B" w:rsidRDefault="00DB6975" w:rsidP="005A75BC">
            <w:pPr>
              <w:rPr>
                <w:rFonts w:ascii="Arial" w:hAnsi="Arial" w:cs="Arial"/>
              </w:rPr>
            </w:pPr>
          </w:p>
        </w:tc>
        <w:tc>
          <w:tcPr>
            <w:tcW w:w="516" w:type="dxa"/>
            <w:tcBorders>
              <w:top w:val="nil"/>
              <w:left w:val="nil"/>
              <w:bottom w:val="nil"/>
              <w:right w:val="nil"/>
            </w:tcBorders>
            <w:noWrap/>
            <w:vAlign w:val="bottom"/>
            <w:hideMark/>
          </w:tcPr>
          <w:p w14:paraId="33E09919" w14:textId="77777777" w:rsidR="00DB6975" w:rsidRPr="003A680B" w:rsidRDefault="00DB6975" w:rsidP="005A75BC">
            <w:pPr>
              <w:rPr>
                <w:rFonts w:ascii="Arial" w:hAnsi="Arial" w:cs="Arial"/>
              </w:rPr>
            </w:pPr>
          </w:p>
        </w:tc>
      </w:tr>
      <w:tr w:rsidR="00DB6975" w14:paraId="24E6C5ED" w14:textId="77777777" w:rsidTr="00DB6975">
        <w:trPr>
          <w:gridAfter w:val="15"/>
          <w:wAfter w:w="12310" w:type="dxa"/>
          <w:trHeight w:val="255"/>
        </w:trPr>
        <w:tc>
          <w:tcPr>
            <w:tcW w:w="8971" w:type="dxa"/>
            <w:gridSpan w:val="2"/>
            <w:tcBorders>
              <w:top w:val="nil"/>
              <w:left w:val="nil"/>
              <w:bottom w:val="nil"/>
              <w:right w:val="nil"/>
            </w:tcBorders>
            <w:noWrap/>
            <w:vAlign w:val="bottom"/>
            <w:hideMark/>
          </w:tcPr>
          <w:p w14:paraId="71D10F19" w14:textId="77777777" w:rsidR="00035E66" w:rsidRDefault="00035E66" w:rsidP="00DE26CE">
            <w:pPr>
              <w:rPr>
                <w:rFonts w:ascii="Arial" w:hAnsi="Arial" w:cs="Arial"/>
              </w:rPr>
            </w:pPr>
          </w:p>
          <w:p w14:paraId="176E26EE" w14:textId="3E7544D4" w:rsidR="00DE26CE" w:rsidRPr="00DE26CE" w:rsidRDefault="00BA3E62" w:rsidP="00DE26CE">
            <w:pPr>
              <w:rPr>
                <w:rFonts w:ascii="Arial" w:hAnsi="Arial" w:cs="Arial"/>
              </w:rPr>
            </w:pPr>
            <w:r>
              <w:rPr>
                <w:rFonts w:ascii="Arial" w:hAnsi="Arial" w:cs="Arial"/>
              </w:rPr>
              <w:t>Bel</w:t>
            </w:r>
            <w:r w:rsidR="00DE26CE" w:rsidRPr="00DE26CE">
              <w:rPr>
                <w:rFonts w:ascii="Arial" w:hAnsi="Arial" w:cs="Arial"/>
              </w:rPr>
              <w:t>ow is further guidance on two of the disclosure items</w:t>
            </w:r>
            <w:r w:rsidR="008369DC">
              <w:rPr>
                <w:rFonts w:ascii="Arial" w:hAnsi="Arial" w:cs="Arial"/>
              </w:rPr>
              <w:t xml:space="preserve"> in the second table of Note </w:t>
            </w:r>
            <w:r w:rsidR="00643245">
              <w:rPr>
                <w:rFonts w:ascii="Arial" w:hAnsi="Arial" w:cs="Arial"/>
              </w:rPr>
              <w:t>11</w:t>
            </w:r>
            <w:r w:rsidR="00BD6070">
              <w:rPr>
                <w:rFonts w:ascii="Arial" w:hAnsi="Arial" w:cs="Arial"/>
              </w:rPr>
              <w:t>B of the University Proforma.</w:t>
            </w:r>
          </w:p>
          <w:p w14:paraId="77D838F9" w14:textId="5DC0AF02" w:rsidR="00DE26CE" w:rsidRPr="00A14EBF" w:rsidRDefault="00DE26CE" w:rsidP="00DE26CE">
            <w:pPr>
              <w:numPr>
                <w:ilvl w:val="0"/>
                <w:numId w:val="24"/>
              </w:numPr>
              <w:spacing w:before="100" w:beforeAutospacing="1" w:after="100" w:afterAutospacing="1"/>
              <w:rPr>
                <w:rFonts w:ascii="Arial" w:hAnsi="Arial" w:cs="Arial"/>
              </w:rPr>
            </w:pPr>
            <w:r w:rsidRPr="00A14EBF">
              <w:rPr>
                <w:rFonts w:ascii="Arial" w:hAnsi="Arial" w:cs="Arial"/>
                <w:b/>
                <w:bCs/>
                <w:u w:val="single"/>
              </w:rPr>
              <w:t>Total Future Revenues Pledged</w:t>
            </w:r>
            <w:r w:rsidR="001C66B0" w:rsidRPr="00A14EBF">
              <w:rPr>
                <w:rFonts w:ascii="Arial" w:hAnsi="Arial" w:cs="Arial"/>
                <w:b/>
                <w:bCs/>
                <w:u w:val="single"/>
              </w:rPr>
              <w:t xml:space="preserve"> (Z)</w:t>
            </w:r>
            <w:r w:rsidRPr="00A14EBF">
              <w:rPr>
                <w:rFonts w:ascii="Arial" w:hAnsi="Arial" w:cs="Arial"/>
              </w:rPr>
              <w:t xml:space="preserve"> - This amount should equal the remaining principal and interest requirements over the life of the secured debt</w:t>
            </w:r>
            <w:r w:rsidR="004B57B4" w:rsidRPr="00A14EBF">
              <w:rPr>
                <w:rFonts w:ascii="Arial" w:hAnsi="Arial" w:cs="Arial"/>
              </w:rPr>
              <w:t>,</w:t>
            </w:r>
            <w:r w:rsidR="001C66B0" w:rsidRPr="00A14EBF">
              <w:rPr>
                <w:rFonts w:ascii="Arial" w:hAnsi="Arial" w:cs="Arial"/>
              </w:rPr>
              <w:t xml:space="preserve"> only if 100% pledged revenue is secured</w:t>
            </w:r>
            <w:r w:rsidR="00A14EBF" w:rsidRPr="00A14EBF">
              <w:rPr>
                <w:rFonts w:ascii="Arial" w:hAnsi="Arial" w:cs="Arial"/>
              </w:rPr>
              <w:t>.</w:t>
            </w:r>
          </w:p>
          <w:p w14:paraId="3D0E915B" w14:textId="5EAB03CF" w:rsidR="00DE26CE" w:rsidRPr="00DE26CE" w:rsidRDefault="00DE26CE" w:rsidP="00DE26CE">
            <w:pPr>
              <w:numPr>
                <w:ilvl w:val="0"/>
                <w:numId w:val="24"/>
              </w:numPr>
              <w:spacing w:before="100" w:beforeAutospacing="1" w:after="100" w:afterAutospacing="1"/>
              <w:rPr>
                <w:rFonts w:ascii="Arial" w:hAnsi="Arial" w:cs="Arial"/>
              </w:rPr>
            </w:pPr>
            <w:r w:rsidRPr="00DE26CE">
              <w:rPr>
                <w:rFonts w:ascii="Arial" w:hAnsi="Arial" w:cs="Arial"/>
                <w:b/>
                <w:bCs/>
                <w:u w:val="single"/>
              </w:rPr>
              <w:lastRenderedPageBreak/>
              <w:t>Estimate of % of Revenue Pledged</w:t>
            </w:r>
            <w:r w:rsidRPr="00DE26CE">
              <w:rPr>
                <w:rFonts w:ascii="Arial" w:hAnsi="Arial" w:cs="Arial"/>
              </w:rPr>
              <w:t xml:space="preserve"> - This estimate should be calculated as follows</w:t>
            </w:r>
            <w:proofErr w:type="gramStart"/>
            <w:r w:rsidRPr="00DE26CE">
              <w:rPr>
                <w:rFonts w:ascii="Arial" w:hAnsi="Arial" w:cs="Arial"/>
              </w:rPr>
              <w:t>:  the</w:t>
            </w:r>
            <w:proofErr w:type="gramEnd"/>
            <w:r w:rsidRPr="00DE26CE">
              <w:rPr>
                <w:rFonts w:ascii="Arial" w:hAnsi="Arial" w:cs="Arial"/>
              </w:rPr>
              <w:t xml:space="preserve"> </w:t>
            </w:r>
            <w:r w:rsidRPr="00480EB7">
              <w:rPr>
                <w:rFonts w:ascii="Arial" w:hAnsi="Arial" w:cs="Arial"/>
                <w:b/>
                <w:bCs/>
                <w:color w:val="0070C0"/>
              </w:rPr>
              <w:t>remaining</w:t>
            </w:r>
            <w:r w:rsidRPr="00DE26CE">
              <w:rPr>
                <w:rFonts w:ascii="Arial" w:hAnsi="Arial" w:cs="Arial"/>
              </w:rPr>
              <w:t xml:space="preserve"> principal and interest requirements over the life of the secured debt divided by </w:t>
            </w:r>
            <w:r w:rsidRPr="008B7541">
              <w:rPr>
                <w:rFonts w:ascii="Arial" w:hAnsi="Arial" w:cs="Arial"/>
              </w:rPr>
              <w:t xml:space="preserve">the total of the specific revenue stream that has been pledged </w:t>
            </w:r>
            <w:r w:rsidRPr="008B7541">
              <w:rPr>
                <w:rFonts w:ascii="Arial" w:hAnsi="Arial" w:cs="Arial"/>
                <w:u w:val="single"/>
              </w:rPr>
              <w:t xml:space="preserve">over the </w:t>
            </w:r>
            <w:r w:rsidR="00195166" w:rsidRPr="008B7541">
              <w:rPr>
                <w:rFonts w:ascii="Arial" w:hAnsi="Arial" w:cs="Arial"/>
                <w:u w:val="single"/>
              </w:rPr>
              <w:t xml:space="preserve">remaining </w:t>
            </w:r>
            <w:r w:rsidRPr="008B7541">
              <w:rPr>
                <w:rFonts w:ascii="Arial" w:hAnsi="Arial" w:cs="Arial"/>
                <w:u w:val="single"/>
              </w:rPr>
              <w:t>life of the secured debt</w:t>
            </w:r>
            <w:r w:rsidRPr="008B7541">
              <w:rPr>
                <w:rFonts w:ascii="Arial" w:hAnsi="Arial" w:cs="Arial"/>
              </w:rPr>
              <w:t>.</w:t>
            </w:r>
            <w:r w:rsidR="008B7541">
              <w:rPr>
                <w:rFonts w:ascii="Arial" w:hAnsi="Arial" w:cs="Arial"/>
              </w:rPr>
              <w:t xml:space="preserve"> The maximum % should </w:t>
            </w:r>
            <w:r w:rsidR="008B7541" w:rsidRPr="008B7541">
              <w:rPr>
                <w:rFonts w:ascii="Arial" w:hAnsi="Arial" w:cs="Arial"/>
                <w:u w:val="single"/>
              </w:rPr>
              <w:t>not</w:t>
            </w:r>
            <w:r w:rsidR="008B7541">
              <w:rPr>
                <w:rFonts w:ascii="Arial" w:hAnsi="Arial" w:cs="Arial"/>
              </w:rPr>
              <w:t xml:space="preserve"> be more than 100%.</w:t>
            </w:r>
            <w:r w:rsidRPr="00DE26CE">
              <w:rPr>
                <w:rFonts w:ascii="Arial" w:hAnsi="Arial" w:cs="Arial"/>
              </w:rPr>
              <w:t xml:space="preserve"> For example, if the remaining principal and interest </w:t>
            </w:r>
            <w:r w:rsidR="00C00397" w:rsidRPr="00DE26CE">
              <w:rPr>
                <w:rFonts w:ascii="Arial" w:hAnsi="Arial" w:cs="Arial"/>
              </w:rPr>
              <w:t>requirements over the life of the secured debt were</w:t>
            </w:r>
            <w:r w:rsidRPr="00DE26CE">
              <w:rPr>
                <w:rFonts w:ascii="Arial" w:hAnsi="Arial" w:cs="Arial"/>
              </w:rPr>
              <w:t xml:space="preserve"> $10 million and the total of the specific revenue stream pledged over the life of the secured debt was $10</w:t>
            </w:r>
            <w:r w:rsidR="00E808DD">
              <w:rPr>
                <w:rFonts w:ascii="Arial" w:hAnsi="Arial" w:cs="Arial"/>
              </w:rPr>
              <w:t>0</w:t>
            </w:r>
            <w:r w:rsidRPr="00DE26CE">
              <w:rPr>
                <w:rFonts w:ascii="Arial" w:hAnsi="Arial" w:cs="Arial"/>
              </w:rPr>
              <w:t xml:space="preserve"> million, then this estimate would be 10%. The total specific revenue stream pledged could be based on historical averages, adjusted for inflation.</w:t>
            </w:r>
            <w:r w:rsidR="00480EB7">
              <w:rPr>
                <w:rFonts w:ascii="Arial" w:hAnsi="Arial" w:cs="Arial"/>
              </w:rPr>
              <w:t xml:space="preserve"> </w:t>
            </w:r>
          </w:p>
          <w:p w14:paraId="72EB3549" w14:textId="77777777" w:rsidR="00DE26CE" w:rsidRDefault="00DE26CE" w:rsidP="005A75BC">
            <w:pPr>
              <w:rPr>
                <w:rFonts w:ascii="Arial" w:hAnsi="Arial" w:cs="Arial"/>
              </w:rPr>
            </w:pPr>
          </w:p>
        </w:tc>
        <w:tc>
          <w:tcPr>
            <w:tcW w:w="222" w:type="dxa"/>
            <w:tcBorders>
              <w:top w:val="nil"/>
              <w:left w:val="nil"/>
              <w:bottom w:val="nil"/>
              <w:right w:val="nil"/>
            </w:tcBorders>
            <w:noWrap/>
            <w:vAlign w:val="bottom"/>
            <w:hideMark/>
          </w:tcPr>
          <w:p w14:paraId="44681A92" w14:textId="77777777" w:rsidR="00DB6975" w:rsidRDefault="00DB6975" w:rsidP="005A75BC">
            <w:pPr>
              <w:rPr>
                <w:rFonts w:ascii="Arial" w:hAnsi="Arial" w:cs="Arial"/>
                <w:sz w:val="16"/>
                <w:szCs w:val="16"/>
              </w:rPr>
            </w:pPr>
          </w:p>
        </w:tc>
        <w:tc>
          <w:tcPr>
            <w:tcW w:w="222" w:type="dxa"/>
            <w:tcBorders>
              <w:top w:val="nil"/>
              <w:left w:val="nil"/>
              <w:bottom w:val="nil"/>
              <w:right w:val="nil"/>
            </w:tcBorders>
            <w:noWrap/>
            <w:vAlign w:val="bottom"/>
            <w:hideMark/>
          </w:tcPr>
          <w:p w14:paraId="68D01FFD" w14:textId="77777777" w:rsidR="00DB6975" w:rsidRDefault="00DB6975" w:rsidP="005A75BC">
            <w:pPr>
              <w:rPr>
                <w:rFonts w:ascii="Arial" w:hAnsi="Arial" w:cs="Arial"/>
                <w:sz w:val="16"/>
                <w:szCs w:val="16"/>
              </w:rPr>
            </w:pPr>
          </w:p>
        </w:tc>
        <w:tc>
          <w:tcPr>
            <w:tcW w:w="222" w:type="dxa"/>
            <w:tcBorders>
              <w:top w:val="nil"/>
              <w:left w:val="nil"/>
              <w:bottom w:val="nil"/>
              <w:right w:val="nil"/>
            </w:tcBorders>
            <w:noWrap/>
            <w:vAlign w:val="bottom"/>
            <w:hideMark/>
          </w:tcPr>
          <w:p w14:paraId="13681BA8" w14:textId="77777777" w:rsidR="00DB6975" w:rsidRDefault="00DB6975" w:rsidP="005A75BC">
            <w:pPr>
              <w:rPr>
                <w:rFonts w:ascii="Arial" w:hAnsi="Arial" w:cs="Arial"/>
                <w:sz w:val="16"/>
                <w:szCs w:val="16"/>
              </w:rPr>
            </w:pPr>
          </w:p>
        </w:tc>
        <w:tc>
          <w:tcPr>
            <w:tcW w:w="222" w:type="dxa"/>
            <w:tcBorders>
              <w:top w:val="nil"/>
              <w:left w:val="nil"/>
              <w:bottom w:val="nil"/>
              <w:right w:val="nil"/>
            </w:tcBorders>
            <w:noWrap/>
            <w:vAlign w:val="bottom"/>
            <w:hideMark/>
          </w:tcPr>
          <w:p w14:paraId="1BF9C158" w14:textId="77777777" w:rsidR="00DB6975" w:rsidRDefault="00DB6975" w:rsidP="005A75BC">
            <w:pPr>
              <w:rPr>
                <w:rFonts w:ascii="Arial" w:hAnsi="Arial" w:cs="Arial"/>
                <w:sz w:val="16"/>
                <w:szCs w:val="16"/>
              </w:rPr>
            </w:pPr>
          </w:p>
        </w:tc>
        <w:tc>
          <w:tcPr>
            <w:tcW w:w="222" w:type="dxa"/>
            <w:tcBorders>
              <w:top w:val="nil"/>
              <w:left w:val="nil"/>
              <w:bottom w:val="nil"/>
              <w:right w:val="nil"/>
            </w:tcBorders>
            <w:noWrap/>
            <w:vAlign w:val="bottom"/>
            <w:hideMark/>
          </w:tcPr>
          <w:p w14:paraId="577B011E" w14:textId="77777777" w:rsidR="00DB6975" w:rsidRDefault="00DB6975" w:rsidP="005A75BC">
            <w:pPr>
              <w:rPr>
                <w:rFonts w:ascii="Arial" w:hAnsi="Arial" w:cs="Arial"/>
                <w:sz w:val="16"/>
                <w:szCs w:val="16"/>
              </w:rPr>
            </w:pPr>
          </w:p>
        </w:tc>
      </w:tr>
      <w:tr w:rsidR="00DB6975" w14:paraId="3BD51C17" w14:textId="77777777" w:rsidTr="0089119A">
        <w:trPr>
          <w:gridAfter w:val="14"/>
          <w:wAfter w:w="12039" w:type="dxa"/>
          <w:trHeight w:val="80"/>
        </w:trPr>
        <w:tc>
          <w:tcPr>
            <w:tcW w:w="1355" w:type="dxa"/>
            <w:tcBorders>
              <w:top w:val="nil"/>
              <w:left w:val="nil"/>
              <w:bottom w:val="nil"/>
              <w:right w:val="nil"/>
            </w:tcBorders>
            <w:noWrap/>
            <w:vAlign w:val="bottom"/>
            <w:hideMark/>
          </w:tcPr>
          <w:p w14:paraId="4443C966" w14:textId="77777777" w:rsidR="00DB6975" w:rsidRDefault="00DB6975" w:rsidP="005A75BC">
            <w:pPr>
              <w:rPr>
                <w:rFonts w:ascii="Arial" w:hAnsi="Arial" w:cs="Arial"/>
              </w:rPr>
            </w:pPr>
          </w:p>
        </w:tc>
        <w:tc>
          <w:tcPr>
            <w:tcW w:w="8997" w:type="dxa"/>
            <w:gridSpan w:val="7"/>
            <w:tcBorders>
              <w:top w:val="nil"/>
              <w:left w:val="nil"/>
              <w:bottom w:val="nil"/>
              <w:right w:val="nil"/>
            </w:tcBorders>
            <w:noWrap/>
            <w:vAlign w:val="bottom"/>
            <w:hideMark/>
          </w:tcPr>
          <w:p w14:paraId="77921FA6" w14:textId="77777777" w:rsidR="00DB6975" w:rsidRDefault="00DB6975" w:rsidP="005A75BC">
            <w:pPr>
              <w:rPr>
                <w:rFonts w:ascii="Arial" w:hAnsi="Arial" w:cs="Arial"/>
              </w:rPr>
            </w:pPr>
          </w:p>
        </w:tc>
      </w:tr>
    </w:tbl>
    <w:p w14:paraId="79A370B3" w14:textId="77777777" w:rsidR="006E1752" w:rsidRPr="00FB7A31" w:rsidRDefault="00D7156F" w:rsidP="00115ED5">
      <w:pPr>
        <w:pStyle w:val="Heading3"/>
        <w:spacing w:line="240" w:lineRule="auto"/>
        <w:jc w:val="left"/>
        <w:rPr>
          <w:rFonts w:ascii="Arial" w:hAnsi="Arial"/>
          <w:u w:val="single"/>
          <w:lang w:val="en-US"/>
        </w:rPr>
      </w:pPr>
      <w:r w:rsidRPr="00083C4E">
        <w:rPr>
          <w:rFonts w:ascii="Arial" w:hAnsi="Arial"/>
          <w:u w:val="single"/>
        </w:rPr>
        <w:t>Debt Defeasances Worksheets (330)</w:t>
      </w:r>
      <w:r w:rsidR="00FB7A31">
        <w:rPr>
          <w:rFonts w:ascii="Arial" w:hAnsi="Arial"/>
          <w:u w:val="single"/>
          <w:lang w:val="en-US"/>
        </w:rPr>
        <w:t xml:space="preserve"> </w:t>
      </w:r>
    </w:p>
    <w:p w14:paraId="0E2774C6" w14:textId="77777777" w:rsidR="00D7156F" w:rsidRPr="006F4861" w:rsidRDefault="00D7156F" w:rsidP="00D7156F">
      <w:pPr>
        <w:rPr>
          <w:rFonts w:ascii="Arial" w:hAnsi="Arial" w:cs="Arial"/>
        </w:rPr>
      </w:pPr>
    </w:p>
    <w:p w14:paraId="1AB77938" w14:textId="77777777" w:rsidR="00D7156F" w:rsidRPr="006F4861" w:rsidRDefault="00D7156F" w:rsidP="00D7156F">
      <w:pPr>
        <w:rPr>
          <w:rFonts w:ascii="Arial" w:hAnsi="Arial" w:cs="Arial"/>
        </w:rPr>
      </w:pPr>
      <w:r w:rsidRPr="006F4861">
        <w:rPr>
          <w:rFonts w:ascii="Arial" w:hAnsi="Arial" w:cs="Arial"/>
        </w:rPr>
        <w:t xml:space="preserve">In Section A, provide </w:t>
      </w:r>
      <w:r w:rsidR="004E137A" w:rsidRPr="006F4861">
        <w:rPr>
          <w:rFonts w:ascii="Arial" w:hAnsi="Arial" w:cs="Arial"/>
        </w:rPr>
        <w:t xml:space="preserve">the following </w:t>
      </w:r>
      <w:r w:rsidRPr="006F4861">
        <w:rPr>
          <w:rFonts w:ascii="Arial" w:hAnsi="Arial" w:cs="Arial"/>
        </w:rPr>
        <w:t>information on debt</w:t>
      </w:r>
      <w:r w:rsidR="004E137A" w:rsidRPr="006F4861">
        <w:rPr>
          <w:rFonts w:ascii="Arial" w:hAnsi="Arial" w:cs="Arial"/>
        </w:rPr>
        <w:t xml:space="preserve"> </w:t>
      </w:r>
      <w:proofErr w:type="spellStart"/>
      <w:r w:rsidR="004E137A" w:rsidRPr="006F4861">
        <w:rPr>
          <w:rFonts w:ascii="Arial" w:hAnsi="Arial" w:cs="Arial"/>
        </w:rPr>
        <w:t>defeased</w:t>
      </w:r>
      <w:proofErr w:type="spellEnd"/>
      <w:r w:rsidR="004E137A" w:rsidRPr="006F4861">
        <w:rPr>
          <w:rFonts w:ascii="Arial" w:hAnsi="Arial" w:cs="Arial"/>
        </w:rPr>
        <w:t xml:space="preserve"> in </w:t>
      </w:r>
      <w:r w:rsidR="004E137A" w:rsidRPr="006364F4">
        <w:rPr>
          <w:rFonts w:ascii="Arial" w:hAnsi="Arial" w:cs="Arial"/>
          <w:u w:val="single"/>
        </w:rPr>
        <w:t>prior</w:t>
      </w:r>
      <w:r w:rsidR="004E137A" w:rsidRPr="006F4861">
        <w:rPr>
          <w:rFonts w:ascii="Arial" w:hAnsi="Arial" w:cs="Arial"/>
        </w:rPr>
        <w:t xml:space="preserve"> fiscal years: </w:t>
      </w:r>
      <w:r w:rsidR="001C623C" w:rsidRPr="006F4861">
        <w:rPr>
          <w:rFonts w:ascii="Arial" w:hAnsi="Arial" w:cs="Arial"/>
        </w:rPr>
        <w:t xml:space="preserve"> </w:t>
      </w:r>
      <w:r w:rsidR="00414D2F">
        <w:rPr>
          <w:rFonts w:ascii="Arial" w:hAnsi="Arial" w:cs="Arial"/>
        </w:rPr>
        <w:t xml:space="preserve">1) </w:t>
      </w:r>
      <w:r w:rsidR="004E137A" w:rsidRPr="006F4861">
        <w:rPr>
          <w:rFonts w:ascii="Arial" w:hAnsi="Arial" w:cs="Arial"/>
        </w:rPr>
        <w:t xml:space="preserve">descriptive name of </w:t>
      </w:r>
      <w:proofErr w:type="spellStart"/>
      <w:r w:rsidR="004E137A" w:rsidRPr="006F4861">
        <w:rPr>
          <w:rFonts w:ascii="Arial" w:hAnsi="Arial" w:cs="Arial"/>
        </w:rPr>
        <w:t>defeased</w:t>
      </w:r>
      <w:proofErr w:type="spellEnd"/>
      <w:r w:rsidR="004E137A" w:rsidRPr="006F4861">
        <w:rPr>
          <w:rFonts w:ascii="Arial" w:hAnsi="Arial" w:cs="Arial"/>
        </w:rPr>
        <w:t xml:space="preserve"> debt</w:t>
      </w:r>
      <w:r w:rsidR="00CD2324">
        <w:rPr>
          <w:rFonts w:ascii="Arial" w:hAnsi="Arial" w:cs="Arial"/>
        </w:rPr>
        <w:t xml:space="preserve"> </w:t>
      </w:r>
      <w:r w:rsidR="00F1365B">
        <w:rPr>
          <w:rFonts w:ascii="Arial" w:hAnsi="Arial" w:cs="Arial"/>
        </w:rPr>
        <w:t xml:space="preserve">identifying direct placements and direct borrowings separately from other debt </w:t>
      </w:r>
      <w:r w:rsidR="00216D0E">
        <w:rPr>
          <w:rFonts w:ascii="Arial" w:hAnsi="Arial" w:cs="Arial"/>
        </w:rPr>
        <w:t xml:space="preserve">(Dept. of Transportation should indicate Highway Fund or NC Turnpike Authority), </w:t>
      </w:r>
      <w:r w:rsidR="00414D2F">
        <w:rPr>
          <w:rFonts w:ascii="Arial" w:hAnsi="Arial" w:cs="Arial"/>
        </w:rPr>
        <w:t xml:space="preserve">2) </w:t>
      </w:r>
      <w:r w:rsidR="004E137A" w:rsidRPr="006F4861">
        <w:rPr>
          <w:rFonts w:ascii="Arial" w:hAnsi="Arial" w:cs="Arial"/>
        </w:rPr>
        <w:t xml:space="preserve">outstanding balance of </w:t>
      </w:r>
      <w:proofErr w:type="spellStart"/>
      <w:r w:rsidR="004E137A" w:rsidRPr="006F4861">
        <w:rPr>
          <w:rFonts w:ascii="Arial" w:hAnsi="Arial" w:cs="Arial"/>
        </w:rPr>
        <w:t>defeased</w:t>
      </w:r>
      <w:proofErr w:type="spellEnd"/>
      <w:r w:rsidR="004E137A" w:rsidRPr="006F4861">
        <w:rPr>
          <w:rFonts w:ascii="Arial" w:hAnsi="Arial" w:cs="Arial"/>
        </w:rPr>
        <w:t xml:space="preserve"> debt at June 30 (in thousands)</w:t>
      </w:r>
      <w:r w:rsidR="00414D2F">
        <w:rPr>
          <w:rFonts w:ascii="Arial" w:hAnsi="Arial" w:cs="Arial"/>
        </w:rPr>
        <w:t xml:space="preserve">, 3) the </w:t>
      </w:r>
      <w:r w:rsidR="00B46B8A">
        <w:rPr>
          <w:rFonts w:ascii="Arial" w:hAnsi="Arial" w:cs="Arial"/>
        </w:rPr>
        <w:t>final payment</w:t>
      </w:r>
      <w:r w:rsidR="00414D2F">
        <w:rPr>
          <w:rFonts w:ascii="Arial" w:hAnsi="Arial" w:cs="Arial"/>
        </w:rPr>
        <w:t xml:space="preserve"> date (i.e., the date </w:t>
      </w:r>
      <w:r w:rsidR="0088354C">
        <w:rPr>
          <w:rFonts w:ascii="Arial" w:hAnsi="Arial" w:cs="Arial"/>
        </w:rPr>
        <w:t xml:space="preserve">when the </w:t>
      </w:r>
      <w:proofErr w:type="spellStart"/>
      <w:r w:rsidR="0088354C">
        <w:rPr>
          <w:rFonts w:ascii="Arial" w:hAnsi="Arial" w:cs="Arial"/>
        </w:rPr>
        <w:t>defeased</w:t>
      </w:r>
      <w:proofErr w:type="spellEnd"/>
      <w:r w:rsidR="00B46B8A">
        <w:rPr>
          <w:rFonts w:ascii="Arial" w:hAnsi="Arial" w:cs="Arial"/>
        </w:rPr>
        <w:t xml:space="preserve"> debt will be paid off in full</w:t>
      </w:r>
      <w:r w:rsidR="00414D2F">
        <w:rPr>
          <w:rFonts w:ascii="Arial" w:hAnsi="Arial" w:cs="Arial"/>
        </w:rPr>
        <w:t>)</w:t>
      </w:r>
      <w:r w:rsidR="00226A5E">
        <w:rPr>
          <w:rFonts w:ascii="Arial" w:hAnsi="Arial" w:cs="Arial"/>
        </w:rPr>
        <w:t xml:space="preserve">, and 4) whether the risk of substitution of essentially risk-free monetary assets with monetary assets that are not essentially risk-free is </w:t>
      </w:r>
      <w:r w:rsidR="001273E2">
        <w:rPr>
          <w:rFonts w:ascii="Arial" w:hAnsi="Arial" w:cs="Arial"/>
        </w:rPr>
        <w:t xml:space="preserve">not </w:t>
      </w:r>
      <w:r w:rsidR="0082772E">
        <w:rPr>
          <w:rFonts w:ascii="Arial" w:hAnsi="Arial" w:cs="Arial"/>
        </w:rPr>
        <w:t>prohibited. If the substitu</w:t>
      </w:r>
      <w:r w:rsidR="00226A5E">
        <w:rPr>
          <w:rFonts w:ascii="Arial" w:hAnsi="Arial" w:cs="Arial"/>
        </w:rPr>
        <w:t xml:space="preserve">tion is not prohibited by State laws, trust or escrow agreements, bond indentures, etc., </w:t>
      </w:r>
      <w:r w:rsidR="0008774A">
        <w:rPr>
          <w:rFonts w:ascii="Arial" w:hAnsi="Arial" w:cs="Arial"/>
        </w:rPr>
        <w:t xml:space="preserve">disclose the balance </w:t>
      </w:r>
      <w:proofErr w:type="gramStart"/>
      <w:r w:rsidR="0008774A">
        <w:rPr>
          <w:rFonts w:ascii="Arial" w:hAnsi="Arial" w:cs="Arial"/>
        </w:rPr>
        <w:t>at</w:t>
      </w:r>
      <w:proofErr w:type="gramEnd"/>
      <w:r w:rsidR="0008774A">
        <w:rPr>
          <w:rFonts w:ascii="Arial" w:hAnsi="Arial" w:cs="Arial"/>
        </w:rPr>
        <w:t xml:space="preserve"> June 30 (in thousands) in </w:t>
      </w:r>
      <w:r w:rsidR="00226A5E">
        <w:rPr>
          <w:rFonts w:ascii="Arial" w:hAnsi="Arial" w:cs="Arial"/>
        </w:rPr>
        <w:t>the column titled “</w:t>
      </w:r>
      <w:r w:rsidR="0008774A">
        <w:rPr>
          <w:rFonts w:ascii="Arial" w:hAnsi="Arial" w:cs="Arial"/>
        </w:rPr>
        <w:t>Balance (in thousands) for which r</w:t>
      </w:r>
      <w:r w:rsidR="00226A5E">
        <w:rPr>
          <w:rFonts w:ascii="Arial" w:hAnsi="Arial" w:cs="Arial"/>
        </w:rPr>
        <w:t>isk of substitution of monetary assets exists”</w:t>
      </w:r>
      <w:r w:rsidR="004E137A" w:rsidRPr="006F4861">
        <w:rPr>
          <w:rFonts w:ascii="Arial" w:hAnsi="Arial" w:cs="Arial"/>
        </w:rPr>
        <w:t>.</w:t>
      </w:r>
      <w:r w:rsidR="001C623C" w:rsidRPr="006F4861">
        <w:rPr>
          <w:rFonts w:ascii="Arial" w:hAnsi="Arial" w:cs="Arial"/>
        </w:rPr>
        <w:t xml:space="preserve"> </w:t>
      </w:r>
      <w:r w:rsidR="0008774A">
        <w:rPr>
          <w:rFonts w:ascii="Arial" w:hAnsi="Arial" w:cs="Arial"/>
        </w:rPr>
        <w:t xml:space="preserve">In most instances, this balance will equal the total balance outstanding </w:t>
      </w:r>
      <w:proofErr w:type="gramStart"/>
      <w:r w:rsidR="0008774A">
        <w:rPr>
          <w:rFonts w:ascii="Arial" w:hAnsi="Arial" w:cs="Arial"/>
        </w:rPr>
        <w:t>at</w:t>
      </w:r>
      <w:proofErr w:type="gramEnd"/>
      <w:r w:rsidR="0008774A">
        <w:rPr>
          <w:rFonts w:ascii="Arial" w:hAnsi="Arial" w:cs="Arial"/>
        </w:rPr>
        <w:t xml:space="preserve"> June 30. </w:t>
      </w:r>
      <w:proofErr w:type="spellStart"/>
      <w:r w:rsidR="001C623C" w:rsidRPr="006F4861">
        <w:rPr>
          <w:rFonts w:ascii="Arial" w:hAnsi="Arial" w:cs="Arial"/>
        </w:rPr>
        <w:t>Defeased</w:t>
      </w:r>
      <w:proofErr w:type="spellEnd"/>
      <w:r w:rsidR="001C623C" w:rsidRPr="006F4861">
        <w:rPr>
          <w:rFonts w:ascii="Arial" w:hAnsi="Arial" w:cs="Arial"/>
        </w:rPr>
        <w:t xml:space="preserve"> debt should not be reported as a liability on your financial statements.</w:t>
      </w:r>
    </w:p>
    <w:p w14:paraId="0BB2100C" w14:textId="77777777" w:rsidR="001C623C" w:rsidRPr="006F4861" w:rsidRDefault="001C623C" w:rsidP="00D7156F">
      <w:pPr>
        <w:rPr>
          <w:rFonts w:ascii="Arial" w:hAnsi="Arial" w:cs="Arial"/>
        </w:rPr>
      </w:pPr>
    </w:p>
    <w:p w14:paraId="491E4066" w14:textId="301F75C7" w:rsidR="009D0D1D" w:rsidRPr="00B32C75" w:rsidRDefault="004C7C0A" w:rsidP="00B32C75">
      <w:pPr>
        <w:rPr>
          <w:rFonts w:ascii="Arial" w:hAnsi="Arial" w:cs="Arial"/>
        </w:rPr>
      </w:pPr>
      <w:r w:rsidRPr="006F4861">
        <w:rPr>
          <w:rFonts w:ascii="Arial" w:hAnsi="Arial" w:cs="Arial"/>
        </w:rPr>
        <w:t xml:space="preserve">Section B </w:t>
      </w:r>
      <w:r w:rsidR="000673D7">
        <w:rPr>
          <w:rFonts w:ascii="Arial" w:hAnsi="Arial" w:cs="Arial"/>
        </w:rPr>
        <w:t>applies</w:t>
      </w:r>
      <w:r w:rsidRPr="006F4861">
        <w:rPr>
          <w:rFonts w:ascii="Arial" w:hAnsi="Arial" w:cs="Arial"/>
        </w:rPr>
        <w:t xml:space="preserve"> if any debt was </w:t>
      </w:r>
      <w:proofErr w:type="spellStart"/>
      <w:r w:rsidRPr="006F4861">
        <w:rPr>
          <w:rFonts w:ascii="Arial" w:hAnsi="Arial" w:cs="Arial"/>
        </w:rPr>
        <w:t>defeased</w:t>
      </w:r>
      <w:proofErr w:type="spellEnd"/>
      <w:r w:rsidRPr="006F4861">
        <w:rPr>
          <w:rFonts w:ascii="Arial" w:hAnsi="Arial" w:cs="Arial"/>
        </w:rPr>
        <w:t xml:space="preserve"> in the </w:t>
      </w:r>
      <w:r w:rsidRPr="006F4861">
        <w:rPr>
          <w:rFonts w:ascii="Arial" w:hAnsi="Arial" w:cs="Arial"/>
          <w:u w:val="single"/>
        </w:rPr>
        <w:t>curren</w:t>
      </w:r>
      <w:r w:rsidRPr="006F4861">
        <w:rPr>
          <w:rFonts w:ascii="Arial" w:hAnsi="Arial" w:cs="Arial"/>
        </w:rPr>
        <w:t>t fiscal year.</w:t>
      </w:r>
      <w:r w:rsidR="00655F68">
        <w:rPr>
          <w:rFonts w:ascii="Arial" w:hAnsi="Arial" w:cs="Arial"/>
        </w:rPr>
        <w:t xml:space="preserve"> </w:t>
      </w:r>
      <w:r w:rsidR="00F76041">
        <w:rPr>
          <w:rFonts w:ascii="Arial" w:hAnsi="Arial" w:cs="Arial"/>
        </w:rPr>
        <w:t xml:space="preserve">A </w:t>
      </w:r>
      <w:r w:rsidRPr="006F4861">
        <w:rPr>
          <w:rFonts w:ascii="Arial" w:hAnsi="Arial" w:cs="Arial"/>
        </w:rPr>
        <w:t>note</w:t>
      </w:r>
      <w:r w:rsidR="00F76041">
        <w:rPr>
          <w:rFonts w:ascii="Arial" w:hAnsi="Arial" w:cs="Arial"/>
        </w:rPr>
        <w:t xml:space="preserve"> disclosure on current </w:t>
      </w:r>
      <w:proofErr w:type="gramStart"/>
      <w:r w:rsidR="00F76041">
        <w:rPr>
          <w:rFonts w:ascii="Arial" w:hAnsi="Arial" w:cs="Arial"/>
        </w:rPr>
        <w:t>year</w:t>
      </w:r>
      <w:proofErr w:type="gramEnd"/>
      <w:r w:rsidR="00F76041">
        <w:rPr>
          <w:rFonts w:ascii="Arial" w:hAnsi="Arial" w:cs="Arial"/>
        </w:rPr>
        <w:t xml:space="preserve"> debt defeasance</w:t>
      </w:r>
      <w:r w:rsidR="000673D7">
        <w:rPr>
          <w:rFonts w:ascii="Arial" w:hAnsi="Arial" w:cs="Arial"/>
        </w:rPr>
        <w:t>s</w:t>
      </w:r>
      <w:r w:rsidR="00F76041">
        <w:rPr>
          <w:rFonts w:ascii="Arial" w:hAnsi="Arial" w:cs="Arial"/>
        </w:rPr>
        <w:t xml:space="preserve"> </w:t>
      </w:r>
      <w:r w:rsidRPr="006F4861">
        <w:rPr>
          <w:rFonts w:ascii="Arial" w:hAnsi="Arial" w:cs="Arial"/>
        </w:rPr>
        <w:t>should be</w:t>
      </w:r>
      <w:r w:rsidR="006F4861">
        <w:rPr>
          <w:rFonts w:ascii="Arial" w:hAnsi="Arial" w:cs="Arial"/>
        </w:rPr>
        <w:t xml:space="preserve"> includ</w:t>
      </w:r>
      <w:r w:rsidRPr="006F4861">
        <w:rPr>
          <w:rFonts w:ascii="Arial" w:hAnsi="Arial" w:cs="Arial"/>
        </w:rPr>
        <w:t xml:space="preserve">ed in the attached </w:t>
      </w:r>
      <w:r w:rsidR="009E6AD3">
        <w:rPr>
          <w:rFonts w:ascii="Arial" w:hAnsi="Arial" w:cs="Arial"/>
        </w:rPr>
        <w:t>A</w:t>
      </w:r>
      <w:r w:rsidR="00385A34">
        <w:rPr>
          <w:rFonts w:ascii="Arial" w:hAnsi="Arial" w:cs="Arial"/>
        </w:rPr>
        <w:t>CF</w:t>
      </w:r>
      <w:r w:rsidR="009E6AD3">
        <w:rPr>
          <w:rFonts w:ascii="Arial" w:hAnsi="Arial" w:cs="Arial"/>
        </w:rPr>
        <w:t>R</w:t>
      </w:r>
      <w:r w:rsidRPr="006F4861">
        <w:rPr>
          <w:rFonts w:ascii="Arial" w:hAnsi="Arial" w:cs="Arial"/>
        </w:rPr>
        <w:t xml:space="preserve"> Package Narratives, which include proforma disclos</w:t>
      </w:r>
      <w:r w:rsidR="00226A5E">
        <w:rPr>
          <w:rFonts w:ascii="Arial" w:hAnsi="Arial" w:cs="Arial"/>
        </w:rPr>
        <w:t xml:space="preserve">ures for current </w:t>
      </w:r>
      <w:proofErr w:type="spellStart"/>
      <w:r w:rsidR="00226A5E">
        <w:rPr>
          <w:rFonts w:ascii="Arial" w:hAnsi="Arial" w:cs="Arial"/>
        </w:rPr>
        <w:t>refundings</w:t>
      </w:r>
      <w:proofErr w:type="spellEnd"/>
      <w:r w:rsidR="00226A5E">
        <w:rPr>
          <w:rFonts w:ascii="Arial" w:hAnsi="Arial" w:cs="Arial"/>
        </w:rPr>
        <w:t xml:space="preserve">, </w:t>
      </w:r>
      <w:r w:rsidRPr="006F4861">
        <w:rPr>
          <w:rFonts w:ascii="Arial" w:hAnsi="Arial" w:cs="Arial"/>
        </w:rPr>
        <w:t xml:space="preserve">advance </w:t>
      </w:r>
      <w:proofErr w:type="spellStart"/>
      <w:r w:rsidR="00366E59">
        <w:rPr>
          <w:rFonts w:ascii="Arial" w:hAnsi="Arial" w:cs="Arial"/>
        </w:rPr>
        <w:t>refunding</w:t>
      </w:r>
      <w:r w:rsidR="00226A5E">
        <w:rPr>
          <w:rFonts w:ascii="Arial" w:hAnsi="Arial" w:cs="Arial"/>
        </w:rPr>
        <w:t>s</w:t>
      </w:r>
      <w:proofErr w:type="spellEnd"/>
      <w:r w:rsidR="00226A5E">
        <w:rPr>
          <w:rFonts w:ascii="Arial" w:hAnsi="Arial" w:cs="Arial"/>
        </w:rPr>
        <w:t xml:space="preserve">, and debt </w:t>
      </w:r>
      <w:proofErr w:type="spellStart"/>
      <w:r w:rsidR="00226A5E">
        <w:rPr>
          <w:rFonts w:ascii="Arial" w:hAnsi="Arial" w:cs="Arial"/>
        </w:rPr>
        <w:t>defeased</w:t>
      </w:r>
      <w:proofErr w:type="spellEnd"/>
      <w:r w:rsidR="00226A5E">
        <w:rPr>
          <w:rFonts w:ascii="Arial" w:hAnsi="Arial" w:cs="Arial"/>
        </w:rPr>
        <w:t xml:space="preserve"> using only existing resources. </w:t>
      </w:r>
      <w:r w:rsidR="00366E59">
        <w:rPr>
          <w:rFonts w:ascii="Arial" w:hAnsi="Arial" w:cs="Arial"/>
        </w:rPr>
        <w:t xml:space="preserve"> </w:t>
      </w:r>
      <w:r w:rsidR="00B32C75" w:rsidRPr="00B32C75">
        <w:rPr>
          <w:rFonts w:ascii="Arial" w:hAnsi="Arial" w:cs="Arial"/>
        </w:rPr>
        <w:t xml:space="preserve">Disclosures regarding (a) direct borrowings and direct placements of debt should be separated from (b) other debt. </w:t>
      </w:r>
      <w:r w:rsidR="00B32C75">
        <w:rPr>
          <w:rFonts w:ascii="Arial" w:hAnsi="Arial" w:cs="Arial"/>
        </w:rPr>
        <w:t>If the new issuance or refunded debt is a direct placement or notes from direct borrowings, ensure the disclosures properly i</w:t>
      </w:r>
      <w:r w:rsidR="00655F68">
        <w:rPr>
          <w:rFonts w:ascii="Arial" w:hAnsi="Arial" w:cs="Arial"/>
        </w:rPr>
        <w:t>dentify this in the name of the old and/or new bond issue</w:t>
      </w:r>
      <w:r w:rsidR="00B32C75">
        <w:rPr>
          <w:rFonts w:ascii="Arial" w:hAnsi="Arial" w:cs="Arial"/>
        </w:rPr>
        <w:t xml:space="preserve">. </w:t>
      </w:r>
      <w:r w:rsidR="00366E59">
        <w:rPr>
          <w:rFonts w:ascii="Arial" w:hAnsi="Arial" w:cs="Arial"/>
        </w:rPr>
        <w:t xml:space="preserve">(Note: the narratives should exclude disclosures of any debt </w:t>
      </w:r>
      <w:proofErr w:type="spellStart"/>
      <w:r w:rsidR="00366E59">
        <w:rPr>
          <w:rFonts w:ascii="Arial" w:hAnsi="Arial" w:cs="Arial"/>
        </w:rPr>
        <w:t>defeased</w:t>
      </w:r>
      <w:proofErr w:type="spellEnd"/>
      <w:r w:rsidR="00366E59">
        <w:rPr>
          <w:rFonts w:ascii="Arial" w:hAnsi="Arial" w:cs="Arial"/>
        </w:rPr>
        <w:t xml:space="preserve"> in prior fiscal years)</w:t>
      </w:r>
      <w:r w:rsidRPr="006F4861">
        <w:rPr>
          <w:rFonts w:ascii="Arial" w:hAnsi="Arial" w:cs="Arial"/>
        </w:rPr>
        <w:t>.</w:t>
      </w:r>
      <w:r w:rsidR="00F76041">
        <w:rPr>
          <w:rFonts w:ascii="Arial" w:hAnsi="Arial" w:cs="Arial"/>
        </w:rPr>
        <w:t xml:space="preserve"> Debt </w:t>
      </w:r>
      <w:proofErr w:type="spellStart"/>
      <w:r w:rsidR="00F76041">
        <w:rPr>
          <w:rFonts w:ascii="Arial" w:hAnsi="Arial" w:cs="Arial"/>
        </w:rPr>
        <w:t>defeased</w:t>
      </w:r>
      <w:proofErr w:type="spellEnd"/>
      <w:r w:rsidR="00F76041">
        <w:rPr>
          <w:rFonts w:ascii="Arial" w:hAnsi="Arial" w:cs="Arial"/>
        </w:rPr>
        <w:t xml:space="preserve"> during the current fiscal year should be removed from your books as a liability.</w:t>
      </w:r>
    </w:p>
    <w:p w14:paraId="2899710F" w14:textId="77777777" w:rsidR="00052953" w:rsidRDefault="00052953" w:rsidP="009D0D1D">
      <w:pPr>
        <w:rPr>
          <w:rFonts w:ascii="Arial" w:hAnsi="Arial" w:cs="Arial"/>
        </w:rPr>
      </w:pPr>
    </w:p>
    <w:p w14:paraId="2193046C" w14:textId="562FCB35" w:rsidR="00052953" w:rsidRDefault="00DB395C" w:rsidP="00052953">
      <w:pPr>
        <w:pStyle w:val="Heading3"/>
        <w:spacing w:line="240" w:lineRule="auto"/>
        <w:jc w:val="left"/>
        <w:rPr>
          <w:rFonts w:ascii="Arial" w:hAnsi="Arial"/>
          <w:u w:val="single"/>
          <w:lang w:val="en-US"/>
        </w:rPr>
      </w:pPr>
      <w:r>
        <w:rPr>
          <w:rFonts w:ascii="Arial" w:hAnsi="Arial"/>
          <w:u w:val="single"/>
          <w:lang w:val="en-US"/>
        </w:rPr>
        <w:t>N</w:t>
      </w:r>
      <w:r w:rsidR="00052953">
        <w:rPr>
          <w:rFonts w:ascii="Arial" w:hAnsi="Arial"/>
          <w:u w:val="single"/>
          <w:lang w:val="en-US"/>
        </w:rPr>
        <w:t xml:space="preserve">onexchange </w:t>
      </w:r>
      <w:r w:rsidR="00983B1D">
        <w:rPr>
          <w:rFonts w:ascii="Arial" w:hAnsi="Arial"/>
          <w:u w:val="single"/>
          <w:lang w:val="en-US"/>
        </w:rPr>
        <w:t xml:space="preserve">and Exchange </w:t>
      </w:r>
      <w:r>
        <w:rPr>
          <w:rFonts w:ascii="Arial" w:hAnsi="Arial"/>
          <w:u w:val="single"/>
          <w:lang w:val="en-US"/>
        </w:rPr>
        <w:t>F</w:t>
      </w:r>
      <w:r w:rsidR="00052953">
        <w:rPr>
          <w:rFonts w:ascii="Arial" w:hAnsi="Arial"/>
          <w:u w:val="single"/>
          <w:lang w:val="en-US"/>
        </w:rPr>
        <w:t xml:space="preserve">inancial </w:t>
      </w:r>
      <w:r>
        <w:rPr>
          <w:rFonts w:ascii="Arial" w:hAnsi="Arial"/>
          <w:u w:val="single"/>
          <w:lang w:val="en-US"/>
        </w:rPr>
        <w:t>G</w:t>
      </w:r>
      <w:r w:rsidR="00052953">
        <w:rPr>
          <w:rFonts w:ascii="Arial" w:hAnsi="Arial"/>
          <w:u w:val="single"/>
          <w:lang w:val="en-US"/>
        </w:rPr>
        <w:t>uarantees</w:t>
      </w:r>
      <w:r w:rsidR="00052953">
        <w:rPr>
          <w:rFonts w:ascii="Arial" w:hAnsi="Arial"/>
          <w:u w:val="single"/>
        </w:rPr>
        <w:t xml:space="preserve"> (</w:t>
      </w:r>
      <w:r w:rsidR="00052953">
        <w:rPr>
          <w:rFonts w:ascii="Arial" w:hAnsi="Arial"/>
          <w:u w:val="single"/>
          <w:lang w:val="en-US"/>
        </w:rPr>
        <w:t>338</w:t>
      </w:r>
      <w:r w:rsidR="00052953" w:rsidRPr="00F24E32">
        <w:rPr>
          <w:rFonts w:ascii="Arial" w:hAnsi="Arial"/>
          <w:u w:val="single"/>
        </w:rPr>
        <w:t>)</w:t>
      </w:r>
    </w:p>
    <w:p w14:paraId="201D7103" w14:textId="77777777" w:rsidR="00052953" w:rsidRDefault="00052953" w:rsidP="00052953">
      <w:pPr>
        <w:rPr>
          <w:lang w:eastAsia="x-none"/>
        </w:rPr>
      </w:pPr>
    </w:p>
    <w:p w14:paraId="24854866" w14:textId="21102207" w:rsidR="00052953" w:rsidRPr="00693993" w:rsidRDefault="00052953" w:rsidP="00052953">
      <w:pPr>
        <w:rPr>
          <w:rFonts w:ascii="Arial" w:hAnsi="Arial" w:cs="Arial"/>
        </w:rPr>
      </w:pPr>
      <w:r>
        <w:rPr>
          <w:rFonts w:ascii="Arial" w:hAnsi="Arial" w:cs="Arial"/>
          <w:lang w:eastAsia="x-none"/>
        </w:rPr>
        <w:t>GASB 70</w:t>
      </w:r>
      <w:r w:rsidR="00983B1D">
        <w:rPr>
          <w:rFonts w:ascii="Arial" w:hAnsi="Arial" w:cs="Arial"/>
          <w:lang w:eastAsia="x-none"/>
        </w:rPr>
        <w:t xml:space="preserve"> and GASB 99</w:t>
      </w:r>
      <w:r>
        <w:rPr>
          <w:rFonts w:ascii="Arial" w:hAnsi="Arial" w:cs="Arial"/>
          <w:lang w:eastAsia="x-none"/>
        </w:rPr>
        <w:t xml:space="preserve"> require</w:t>
      </w:r>
      <w:r w:rsidR="00983B1D">
        <w:rPr>
          <w:rFonts w:ascii="Arial" w:hAnsi="Arial" w:cs="Arial"/>
          <w:lang w:eastAsia="x-none"/>
        </w:rPr>
        <w:t xml:space="preserve"> </w:t>
      </w:r>
      <w:r>
        <w:rPr>
          <w:rFonts w:ascii="Arial" w:hAnsi="Arial" w:cs="Arial"/>
          <w:lang w:eastAsia="x-none"/>
        </w:rPr>
        <w:t xml:space="preserve">disclosure of information related to </w:t>
      </w:r>
      <w:proofErr w:type="gramStart"/>
      <w:r>
        <w:rPr>
          <w:rFonts w:ascii="Arial" w:hAnsi="Arial" w:cs="Arial"/>
          <w:lang w:eastAsia="x-none"/>
        </w:rPr>
        <w:t>nonexchange</w:t>
      </w:r>
      <w:proofErr w:type="gramEnd"/>
      <w:r w:rsidR="00983B1D">
        <w:rPr>
          <w:rFonts w:ascii="Arial" w:hAnsi="Arial" w:cs="Arial"/>
          <w:lang w:eastAsia="x-none"/>
        </w:rPr>
        <w:t xml:space="preserve"> or exchange or exchange-like</w:t>
      </w:r>
      <w:r>
        <w:rPr>
          <w:rFonts w:ascii="Arial" w:hAnsi="Arial" w:cs="Arial"/>
          <w:lang w:eastAsia="x-none"/>
        </w:rPr>
        <w:t xml:space="preserve"> financial guarantees.</w:t>
      </w:r>
      <w:r w:rsidR="00C77D49" w:rsidRPr="00C77D49">
        <w:rPr>
          <w:rFonts w:ascii="Arial" w:hAnsi="Arial" w:cs="Arial"/>
          <w:lang w:eastAsia="x-none"/>
        </w:rPr>
        <w:t xml:space="preserve"> </w:t>
      </w:r>
      <w:r w:rsidR="00C77D49">
        <w:rPr>
          <w:rFonts w:ascii="Arial" w:hAnsi="Arial" w:cs="Arial"/>
          <w:lang w:eastAsia="x-none"/>
        </w:rPr>
        <w:t>This worksheet is only applicable to certain agencies/institutions as defined on the worksheet.  If applicable, r</w:t>
      </w:r>
      <w:r>
        <w:rPr>
          <w:rFonts w:ascii="Arial" w:hAnsi="Arial" w:cs="Arial"/>
          <w:lang w:eastAsia="x-none"/>
        </w:rPr>
        <w:t>eview the criteria on the worksheet and in the Financial Reporting Update link</w:t>
      </w:r>
      <w:r w:rsidR="00983B1D">
        <w:rPr>
          <w:rFonts w:ascii="Arial" w:hAnsi="Arial" w:cs="Arial"/>
          <w:lang w:eastAsia="x-none"/>
        </w:rPr>
        <w:t>s</w:t>
      </w:r>
      <w:r>
        <w:rPr>
          <w:rFonts w:ascii="Arial" w:hAnsi="Arial" w:cs="Arial"/>
          <w:lang w:eastAsia="x-none"/>
        </w:rPr>
        <w:t xml:space="preserve"> contained within the worksheet to determine if your agency/institution has a nonexchange </w:t>
      </w:r>
      <w:r w:rsidR="00983B1D">
        <w:rPr>
          <w:rFonts w:ascii="Arial" w:hAnsi="Arial" w:cs="Arial"/>
          <w:lang w:eastAsia="x-none"/>
        </w:rPr>
        <w:t xml:space="preserve">or exchange or exchange-like </w:t>
      </w:r>
      <w:r>
        <w:rPr>
          <w:rFonts w:ascii="Arial" w:hAnsi="Arial" w:cs="Arial"/>
          <w:lang w:eastAsia="x-none"/>
        </w:rPr>
        <w:t xml:space="preserve">financial guarantee to report.  </w:t>
      </w:r>
      <w:r>
        <w:rPr>
          <w:rFonts w:ascii="Arial" w:hAnsi="Arial" w:cs="Arial"/>
        </w:rPr>
        <w:t xml:space="preserve">If you answer yes to this worksheet, you will also need to complete the related </w:t>
      </w:r>
      <w:r w:rsidR="009E6AD3">
        <w:rPr>
          <w:rFonts w:ascii="Arial" w:hAnsi="Arial" w:cs="Arial"/>
          <w:b/>
          <w:u w:val="single"/>
        </w:rPr>
        <w:t>A</w:t>
      </w:r>
      <w:r w:rsidR="00220729">
        <w:rPr>
          <w:rFonts w:ascii="Arial" w:hAnsi="Arial" w:cs="Arial"/>
          <w:b/>
          <w:u w:val="single"/>
        </w:rPr>
        <w:t>CF</w:t>
      </w:r>
      <w:r w:rsidR="009E6AD3">
        <w:rPr>
          <w:rFonts w:ascii="Arial" w:hAnsi="Arial" w:cs="Arial"/>
          <w:b/>
          <w:u w:val="single"/>
        </w:rPr>
        <w:t>R</w:t>
      </w:r>
      <w:r w:rsidRPr="00003DA0">
        <w:rPr>
          <w:rFonts w:ascii="Arial" w:hAnsi="Arial" w:cs="Arial"/>
          <w:b/>
          <w:u w:val="single"/>
        </w:rPr>
        <w:t xml:space="preserve"> Package Narrative</w:t>
      </w:r>
      <w:r>
        <w:rPr>
          <w:rFonts w:ascii="Arial" w:hAnsi="Arial" w:cs="Arial"/>
        </w:rPr>
        <w:t xml:space="preserve"> disclosure.</w:t>
      </w:r>
    </w:p>
    <w:p w14:paraId="28372F66" w14:textId="77777777" w:rsidR="00511776" w:rsidRDefault="00511776" w:rsidP="00115ED5">
      <w:pPr>
        <w:pStyle w:val="Heading3"/>
        <w:spacing w:line="240" w:lineRule="auto"/>
        <w:jc w:val="left"/>
        <w:rPr>
          <w:rFonts w:ascii="Arial" w:hAnsi="Arial"/>
          <w:u w:val="single"/>
        </w:rPr>
      </w:pPr>
    </w:p>
    <w:p w14:paraId="68221453" w14:textId="00146F10" w:rsidR="00115ED5" w:rsidRDefault="00115ED5" w:rsidP="00115ED5">
      <w:pPr>
        <w:pStyle w:val="Heading3"/>
        <w:spacing w:line="240" w:lineRule="auto"/>
        <w:jc w:val="left"/>
        <w:rPr>
          <w:b w:val="0"/>
          <w:smallCaps w:val="0"/>
          <w:u w:val="single"/>
        </w:rPr>
      </w:pPr>
      <w:r>
        <w:rPr>
          <w:rFonts w:ascii="Arial" w:hAnsi="Arial"/>
          <w:u w:val="single"/>
        </w:rPr>
        <w:t>Contingencies Worksheet (345)</w:t>
      </w:r>
    </w:p>
    <w:p w14:paraId="7E729DCC" w14:textId="77777777" w:rsidR="00115ED5" w:rsidRDefault="00115ED5"/>
    <w:p w14:paraId="0E1C9FA9" w14:textId="77777777" w:rsidR="00782529" w:rsidRPr="00782529" w:rsidRDefault="00782529" w:rsidP="00782529">
      <w:pPr>
        <w:rPr>
          <w:rFonts w:ascii="Arial" w:hAnsi="Arial" w:cs="Arial"/>
        </w:rPr>
      </w:pPr>
      <w:r w:rsidRPr="00782529">
        <w:rPr>
          <w:rFonts w:ascii="Arial" w:hAnsi="Arial" w:cs="Arial"/>
        </w:rPr>
        <w:t xml:space="preserve">Contingent liabilities should be accrued when it is both 1) </w:t>
      </w:r>
      <w:r w:rsidRPr="00782529">
        <w:rPr>
          <w:rFonts w:ascii="Arial" w:hAnsi="Arial" w:cs="Arial"/>
          <w:b/>
          <w:bCs/>
          <w:u w:val="single"/>
        </w:rPr>
        <w:t>probable</w:t>
      </w:r>
      <w:r w:rsidRPr="00782529">
        <w:rPr>
          <w:rFonts w:ascii="Arial" w:hAnsi="Arial" w:cs="Arial"/>
        </w:rPr>
        <w:t xml:space="preserve"> that </w:t>
      </w:r>
      <w:proofErr w:type="gramStart"/>
      <w:r w:rsidRPr="00782529">
        <w:rPr>
          <w:rFonts w:ascii="Arial" w:hAnsi="Arial" w:cs="Arial"/>
        </w:rPr>
        <w:t>a liability</w:t>
      </w:r>
      <w:proofErr w:type="gramEnd"/>
      <w:r w:rsidRPr="00782529">
        <w:rPr>
          <w:rFonts w:ascii="Arial" w:hAnsi="Arial" w:cs="Arial"/>
        </w:rPr>
        <w:t xml:space="preserve"> has been incurred at the financial statement date, and (2) the amount of the loss can be reasonably estimated. If accrued in the financial statements, no disclosure is required</w:t>
      </w:r>
      <w:r w:rsidR="0053342E">
        <w:rPr>
          <w:rFonts w:ascii="Arial" w:hAnsi="Arial" w:cs="Arial"/>
        </w:rPr>
        <w:t xml:space="preserve"> on worksheet 345</w:t>
      </w:r>
      <w:r w:rsidRPr="00782529">
        <w:rPr>
          <w:rFonts w:ascii="Arial" w:hAnsi="Arial" w:cs="Arial"/>
        </w:rPr>
        <w:t>.</w:t>
      </w:r>
    </w:p>
    <w:p w14:paraId="7B25D64E" w14:textId="77777777" w:rsidR="00782529" w:rsidRPr="00782529" w:rsidRDefault="00782529" w:rsidP="00782529">
      <w:pPr>
        <w:rPr>
          <w:rFonts w:ascii="Arial" w:hAnsi="Arial" w:cs="Arial"/>
        </w:rPr>
      </w:pPr>
    </w:p>
    <w:p w14:paraId="759B6C36" w14:textId="77777777" w:rsidR="00782529" w:rsidRPr="00782529" w:rsidRDefault="00782529" w:rsidP="00782529">
      <w:pPr>
        <w:rPr>
          <w:rFonts w:ascii="Arial" w:hAnsi="Arial" w:cs="Arial"/>
        </w:rPr>
      </w:pPr>
      <w:r w:rsidRPr="00782529">
        <w:rPr>
          <w:rFonts w:ascii="Arial" w:hAnsi="Arial" w:cs="Arial"/>
        </w:rPr>
        <w:t xml:space="preserve">Disclosures of material contingent liabilities of the State Entity is required under the following conditions: (1) the chance that the State entity will actually incur the liability is better than a REMOTE (either POSSIBLE or PROBABLE) likelihood and (2) the amount of the </w:t>
      </w:r>
      <w:r w:rsidRPr="00782529">
        <w:rPr>
          <w:rFonts w:ascii="Arial" w:hAnsi="Arial" w:cs="Arial"/>
          <w:u w:val="single"/>
        </w:rPr>
        <w:t>possible</w:t>
      </w:r>
      <w:r w:rsidRPr="00782529">
        <w:rPr>
          <w:rFonts w:ascii="Arial" w:hAnsi="Arial" w:cs="Arial"/>
        </w:rPr>
        <w:t xml:space="preserve"> liability is known or can be reasonably estimated, or the amount of the </w:t>
      </w:r>
      <w:r w:rsidRPr="00782529">
        <w:rPr>
          <w:rFonts w:ascii="Arial" w:hAnsi="Arial" w:cs="Arial"/>
          <w:u w:val="single"/>
        </w:rPr>
        <w:t>probable/possible</w:t>
      </w:r>
      <w:r w:rsidRPr="00782529">
        <w:rPr>
          <w:rFonts w:ascii="Arial" w:hAnsi="Arial" w:cs="Arial"/>
        </w:rPr>
        <w:t xml:space="preserve"> liability cannot be reasonably estimated. OSC defines a material contingent liability threshold as $20 million or greater.  </w:t>
      </w:r>
    </w:p>
    <w:p w14:paraId="669359D0" w14:textId="77777777" w:rsidR="00782529" w:rsidRPr="00782529" w:rsidRDefault="00782529" w:rsidP="00782529">
      <w:pPr>
        <w:rPr>
          <w:rFonts w:ascii="Arial" w:hAnsi="Arial" w:cs="Arial"/>
        </w:rPr>
      </w:pPr>
    </w:p>
    <w:p w14:paraId="3DE966B1" w14:textId="77777777" w:rsidR="00782529" w:rsidRPr="00782529" w:rsidRDefault="00782529" w:rsidP="00782529">
      <w:pPr>
        <w:rPr>
          <w:rFonts w:ascii="Arial" w:hAnsi="Arial" w:cs="Arial"/>
        </w:rPr>
      </w:pPr>
      <w:r w:rsidRPr="00782529">
        <w:rPr>
          <w:rFonts w:ascii="Arial" w:hAnsi="Arial" w:cs="Arial"/>
        </w:rPr>
        <w:t xml:space="preserve">GASB defines the terms probable, reasonably possible, and remote as follows:  </w:t>
      </w:r>
    </w:p>
    <w:p w14:paraId="3E155DE1" w14:textId="77777777" w:rsidR="00782529" w:rsidRPr="00782529" w:rsidRDefault="00782529" w:rsidP="00782529">
      <w:pPr>
        <w:pStyle w:val="ListParagraph"/>
        <w:numPr>
          <w:ilvl w:val="0"/>
          <w:numId w:val="23"/>
        </w:numPr>
        <w:rPr>
          <w:rFonts w:ascii="Arial" w:hAnsi="Arial" w:cs="Arial"/>
          <w:sz w:val="20"/>
          <w:szCs w:val="20"/>
        </w:rPr>
      </w:pPr>
      <w:r w:rsidRPr="00782529">
        <w:rPr>
          <w:rFonts w:ascii="Arial" w:hAnsi="Arial" w:cs="Arial"/>
          <w:sz w:val="20"/>
          <w:szCs w:val="20"/>
        </w:rPr>
        <w:t xml:space="preserve">Probable – the future event or events are likely to occur. </w:t>
      </w:r>
    </w:p>
    <w:p w14:paraId="54BF68D0" w14:textId="77777777" w:rsidR="00782529" w:rsidRPr="00782529" w:rsidRDefault="00782529" w:rsidP="00782529">
      <w:pPr>
        <w:pStyle w:val="ListParagraph"/>
        <w:numPr>
          <w:ilvl w:val="0"/>
          <w:numId w:val="23"/>
        </w:numPr>
        <w:rPr>
          <w:rFonts w:ascii="Arial" w:hAnsi="Arial" w:cs="Arial"/>
          <w:sz w:val="20"/>
          <w:szCs w:val="20"/>
        </w:rPr>
      </w:pPr>
      <w:r w:rsidRPr="00782529">
        <w:rPr>
          <w:rFonts w:ascii="Arial" w:hAnsi="Arial" w:cs="Arial"/>
          <w:sz w:val="20"/>
          <w:szCs w:val="20"/>
        </w:rPr>
        <w:lastRenderedPageBreak/>
        <w:t xml:space="preserve">Reasonably possible - the chance of the future event or events occurring is more than remote but less than likely.  </w:t>
      </w:r>
    </w:p>
    <w:p w14:paraId="4E24D8DD" w14:textId="77777777" w:rsidR="00782529" w:rsidRPr="00782529" w:rsidRDefault="00782529" w:rsidP="00782529">
      <w:pPr>
        <w:pStyle w:val="ListParagraph"/>
        <w:numPr>
          <w:ilvl w:val="0"/>
          <w:numId w:val="23"/>
        </w:numPr>
        <w:rPr>
          <w:rFonts w:ascii="Arial" w:hAnsi="Arial" w:cs="Arial"/>
          <w:sz w:val="20"/>
          <w:szCs w:val="20"/>
        </w:rPr>
      </w:pPr>
      <w:r w:rsidRPr="00782529">
        <w:rPr>
          <w:rFonts w:ascii="Arial" w:hAnsi="Arial" w:cs="Arial"/>
          <w:sz w:val="20"/>
          <w:szCs w:val="20"/>
        </w:rPr>
        <w:t xml:space="preserve">Remote - the chance of </w:t>
      </w:r>
      <w:proofErr w:type="gramStart"/>
      <w:r w:rsidRPr="00782529">
        <w:rPr>
          <w:rFonts w:ascii="Arial" w:hAnsi="Arial" w:cs="Arial"/>
          <w:sz w:val="20"/>
          <w:szCs w:val="20"/>
        </w:rPr>
        <w:t>the future event or</w:t>
      </w:r>
      <w:proofErr w:type="gramEnd"/>
      <w:r w:rsidRPr="00782529">
        <w:rPr>
          <w:rFonts w:ascii="Arial" w:hAnsi="Arial" w:cs="Arial"/>
          <w:sz w:val="20"/>
          <w:szCs w:val="20"/>
        </w:rPr>
        <w:t xml:space="preserve"> events occurring is slight.</w:t>
      </w:r>
    </w:p>
    <w:p w14:paraId="76A0864D" w14:textId="77777777" w:rsidR="00782529" w:rsidRDefault="00782529" w:rsidP="00782529">
      <w:pPr>
        <w:rPr>
          <w:rFonts w:ascii="Arial" w:hAnsi="Arial" w:cs="Arial"/>
          <w:color w:val="FF0000"/>
        </w:rPr>
      </w:pPr>
    </w:p>
    <w:p w14:paraId="4C3FEAEC" w14:textId="407DA999" w:rsidR="00B75728" w:rsidRPr="004E1F9C" w:rsidRDefault="00782529" w:rsidP="004E1F9C">
      <w:pPr>
        <w:rPr>
          <w:rFonts w:ascii="Arial" w:hAnsi="Arial" w:cs="Arial"/>
        </w:rPr>
      </w:pPr>
      <w:r>
        <w:rPr>
          <w:rFonts w:ascii="Arial" w:hAnsi="Arial" w:cs="Arial"/>
        </w:rPr>
        <w:t>M</w:t>
      </w:r>
      <w:r w:rsidRPr="006E1752">
        <w:rPr>
          <w:rFonts w:ascii="Arial" w:hAnsi="Arial" w:cs="Arial"/>
        </w:rPr>
        <w:t>aterial contingent liabilities</w:t>
      </w:r>
      <w:r>
        <w:rPr>
          <w:rFonts w:ascii="Arial" w:hAnsi="Arial" w:cs="Arial"/>
        </w:rPr>
        <w:t xml:space="preserve"> must be referenced in the Certific</w:t>
      </w:r>
      <w:r w:rsidRPr="006E1752">
        <w:rPr>
          <w:rFonts w:ascii="Arial" w:hAnsi="Arial" w:cs="Arial"/>
        </w:rPr>
        <w:t xml:space="preserve">ation Letter.  </w:t>
      </w:r>
      <w:r>
        <w:rPr>
          <w:rFonts w:ascii="Arial" w:hAnsi="Arial" w:cs="Arial"/>
        </w:rPr>
        <w:t>The Certification Letter should indicate material contingent liabilities are included in the Contingencies Worksheet and related narrative.  M</w:t>
      </w:r>
      <w:r w:rsidRPr="006E1752">
        <w:rPr>
          <w:rFonts w:ascii="Arial" w:hAnsi="Arial" w:cs="Arial"/>
        </w:rPr>
        <w:t xml:space="preserve">aterial contingent Liabilities must be included on the Contingencies Worksheet. </w:t>
      </w:r>
    </w:p>
    <w:p w14:paraId="56D23ECD" w14:textId="77777777" w:rsidR="00C312AA" w:rsidRDefault="00C312AA" w:rsidP="00C312AA">
      <w:pPr>
        <w:rPr>
          <w:lang w:eastAsia="x-none"/>
        </w:rPr>
      </w:pPr>
    </w:p>
    <w:p w14:paraId="16016BC8" w14:textId="77777777" w:rsidR="00C312AA" w:rsidRPr="00C312AA" w:rsidRDefault="00C312AA" w:rsidP="00C312AA">
      <w:pPr>
        <w:rPr>
          <w:lang w:eastAsia="x-none"/>
        </w:rPr>
      </w:pPr>
    </w:p>
    <w:p w14:paraId="1DB2F651" w14:textId="7125A536" w:rsidR="007F4366" w:rsidRPr="00E1519C" w:rsidRDefault="009E6AD3" w:rsidP="007F4366">
      <w:pPr>
        <w:pStyle w:val="Heading3"/>
        <w:spacing w:line="240" w:lineRule="auto"/>
        <w:jc w:val="left"/>
        <w:rPr>
          <w:b w:val="0"/>
          <w:smallCaps w:val="0"/>
          <w:sz w:val="22"/>
          <w:szCs w:val="22"/>
          <w:u w:val="single"/>
        </w:rPr>
      </w:pPr>
      <w:r w:rsidRPr="00E1519C">
        <w:rPr>
          <w:rFonts w:ascii="Arial" w:hAnsi="Arial"/>
          <w:sz w:val="22"/>
          <w:szCs w:val="22"/>
          <w:u w:val="single"/>
          <w:lang w:val="en-US"/>
        </w:rPr>
        <w:t>Financial</w:t>
      </w:r>
      <w:r w:rsidR="007F4366" w:rsidRPr="00E1519C">
        <w:rPr>
          <w:rFonts w:ascii="Arial" w:hAnsi="Arial"/>
          <w:sz w:val="22"/>
          <w:szCs w:val="22"/>
          <w:u w:val="single"/>
          <w:lang w:val="en-US"/>
        </w:rPr>
        <w:t xml:space="preserve"> Reporting for Federal Coronavirus (COVID-19) Funds</w:t>
      </w:r>
      <w:r w:rsidR="007F4366" w:rsidRPr="00E1519C">
        <w:rPr>
          <w:rFonts w:ascii="Arial" w:hAnsi="Arial"/>
          <w:sz w:val="22"/>
          <w:szCs w:val="22"/>
          <w:u w:val="single"/>
        </w:rPr>
        <w:t xml:space="preserve"> Worksheet (3</w:t>
      </w:r>
      <w:r w:rsidR="007F4366" w:rsidRPr="00E1519C">
        <w:rPr>
          <w:rFonts w:ascii="Arial" w:hAnsi="Arial"/>
          <w:sz w:val="22"/>
          <w:szCs w:val="22"/>
          <w:u w:val="single"/>
          <w:lang w:val="en-US"/>
        </w:rPr>
        <w:t>7</w:t>
      </w:r>
      <w:r w:rsidR="007F4366" w:rsidRPr="00E1519C">
        <w:rPr>
          <w:rFonts w:ascii="Arial" w:hAnsi="Arial"/>
          <w:sz w:val="22"/>
          <w:szCs w:val="22"/>
          <w:u w:val="single"/>
        </w:rPr>
        <w:t>5</w:t>
      </w:r>
      <w:r w:rsidR="00AE6D58" w:rsidRPr="00E1519C">
        <w:rPr>
          <w:rFonts w:ascii="Arial" w:hAnsi="Arial"/>
          <w:sz w:val="22"/>
          <w:szCs w:val="22"/>
          <w:u w:val="single"/>
          <w:lang w:val="en-US"/>
        </w:rPr>
        <w:t>-A</w:t>
      </w:r>
      <w:r w:rsidR="007F4366" w:rsidRPr="00E1519C">
        <w:rPr>
          <w:rFonts w:ascii="Arial" w:hAnsi="Arial"/>
          <w:sz w:val="22"/>
          <w:szCs w:val="22"/>
          <w:u w:val="single"/>
        </w:rPr>
        <w:t>)</w:t>
      </w:r>
    </w:p>
    <w:p w14:paraId="17496180" w14:textId="77777777" w:rsidR="007F4366" w:rsidRDefault="007F4366" w:rsidP="007F4366">
      <w:pPr>
        <w:rPr>
          <w:rFonts w:ascii="Arial" w:hAnsi="Arial"/>
        </w:rPr>
      </w:pPr>
    </w:p>
    <w:p w14:paraId="01504A38" w14:textId="48C151DB" w:rsidR="00AE6D58" w:rsidRDefault="00577830" w:rsidP="007F4366">
      <w:pPr>
        <w:rPr>
          <w:rFonts w:ascii="Arial" w:hAnsi="Arial" w:cs="Arial"/>
        </w:rPr>
      </w:pPr>
      <w:r w:rsidRPr="00577830">
        <w:rPr>
          <w:rFonts w:ascii="Arial" w:hAnsi="Arial"/>
          <w:b/>
          <w:bCs/>
          <w:i/>
          <w:iCs/>
        </w:rPr>
        <w:t>All agencies and online component units (NC School of Science and Math</w:t>
      </w:r>
      <w:r w:rsidR="00C75657">
        <w:rPr>
          <w:rFonts w:ascii="Arial" w:hAnsi="Arial"/>
          <w:b/>
          <w:bCs/>
          <w:i/>
          <w:iCs/>
        </w:rPr>
        <w:t xml:space="preserve">, </w:t>
      </w:r>
      <w:r w:rsidRPr="00577830">
        <w:rPr>
          <w:rFonts w:ascii="Arial" w:hAnsi="Arial"/>
          <w:b/>
          <w:bCs/>
          <w:i/>
          <w:iCs/>
        </w:rPr>
        <w:t>State Health Plan</w:t>
      </w:r>
      <w:r w:rsidR="00C75657">
        <w:rPr>
          <w:rFonts w:ascii="Arial" w:hAnsi="Arial"/>
          <w:b/>
          <w:bCs/>
          <w:i/>
          <w:iCs/>
        </w:rPr>
        <w:t xml:space="preserve">, NC Global </w:t>
      </w:r>
      <w:proofErr w:type="spellStart"/>
      <w:r w:rsidR="00C75657">
        <w:rPr>
          <w:rFonts w:ascii="Arial" w:hAnsi="Arial"/>
          <w:b/>
          <w:bCs/>
          <w:i/>
          <w:iCs/>
        </w:rPr>
        <w:t>TransPark</w:t>
      </w:r>
      <w:proofErr w:type="spellEnd"/>
      <w:r w:rsidR="00C75657">
        <w:rPr>
          <w:rFonts w:ascii="Arial" w:hAnsi="Arial"/>
          <w:b/>
          <w:bCs/>
          <w:i/>
          <w:iCs/>
        </w:rPr>
        <w:t>, and NC Ports Authority</w:t>
      </w:r>
      <w:r w:rsidRPr="00577830">
        <w:rPr>
          <w:rFonts w:ascii="Arial" w:hAnsi="Arial"/>
          <w:b/>
          <w:bCs/>
          <w:i/>
          <w:iCs/>
        </w:rPr>
        <w:t>) are required to complete section A of this worksheet.</w:t>
      </w:r>
      <w:r>
        <w:rPr>
          <w:rFonts w:ascii="Arial" w:hAnsi="Arial"/>
        </w:rPr>
        <w:t xml:space="preserve"> </w:t>
      </w:r>
      <w:r w:rsidR="00785D92">
        <w:rPr>
          <w:rFonts w:ascii="Arial" w:hAnsi="Arial"/>
        </w:rPr>
        <w:t>Offline component units using the 905 template</w:t>
      </w:r>
      <w:r w:rsidR="002C14E8">
        <w:rPr>
          <w:rFonts w:ascii="Arial" w:hAnsi="Arial"/>
        </w:rPr>
        <w:t xml:space="preserve"> or </w:t>
      </w:r>
      <w:r w:rsidR="008415DE">
        <w:rPr>
          <w:rFonts w:ascii="Arial" w:hAnsi="Arial"/>
        </w:rPr>
        <w:t xml:space="preserve">offline </w:t>
      </w:r>
      <w:r w:rsidR="002C14E8">
        <w:rPr>
          <w:rFonts w:ascii="Arial" w:hAnsi="Arial"/>
        </w:rPr>
        <w:t xml:space="preserve">statements in the </w:t>
      </w:r>
      <w:r w:rsidR="0005010A">
        <w:rPr>
          <w:rFonts w:ascii="Arial" w:hAnsi="Arial"/>
        </w:rPr>
        <w:t>ACFR</w:t>
      </w:r>
      <w:r w:rsidR="002C14E8">
        <w:rPr>
          <w:rFonts w:ascii="Arial" w:hAnsi="Arial"/>
        </w:rPr>
        <w:t xml:space="preserve"> package</w:t>
      </w:r>
      <w:r w:rsidR="00785D92">
        <w:rPr>
          <w:rFonts w:ascii="Arial" w:hAnsi="Arial"/>
        </w:rPr>
        <w:t xml:space="preserve"> are not required to complete this worksheet. </w:t>
      </w:r>
      <w:r w:rsidR="0005010A">
        <w:rPr>
          <w:rFonts w:ascii="Arial" w:hAnsi="Arial"/>
        </w:rPr>
        <w:t xml:space="preserve"> </w:t>
      </w:r>
      <w:r w:rsidR="007F4366" w:rsidRPr="007F4366">
        <w:rPr>
          <w:rFonts w:ascii="Arial" w:hAnsi="Arial"/>
        </w:rPr>
        <w:t xml:space="preserve">The purpose of this worksheet is to </w:t>
      </w:r>
      <w:r w:rsidR="007F4366" w:rsidRPr="0028018C">
        <w:rPr>
          <w:rFonts w:ascii="Arial" w:hAnsi="Arial"/>
          <w:b/>
          <w:bCs/>
        </w:rPr>
        <w:t xml:space="preserve">identify the amount of federal </w:t>
      </w:r>
      <w:r w:rsidR="00AE6D58" w:rsidRPr="0028018C">
        <w:rPr>
          <w:rFonts w:ascii="Arial" w:hAnsi="Arial"/>
          <w:b/>
          <w:bCs/>
        </w:rPr>
        <w:t>revenues</w:t>
      </w:r>
      <w:r w:rsidR="007F4366" w:rsidRPr="0028018C">
        <w:rPr>
          <w:rFonts w:ascii="Arial" w:hAnsi="Arial"/>
          <w:b/>
          <w:bCs/>
        </w:rPr>
        <w:t xml:space="preserve"> that have been received in response to the coronavirus disease (COVID-19</w:t>
      </w:r>
      <w:r w:rsidR="007F4366" w:rsidRPr="007F4366">
        <w:rPr>
          <w:rFonts w:ascii="Arial" w:hAnsi="Arial"/>
        </w:rPr>
        <w:t>) including federal funding from the Coronavirus Aid, Relief, and Economic Security (CARES) Act</w:t>
      </w:r>
      <w:r w:rsidR="00607172">
        <w:rPr>
          <w:rFonts w:ascii="Arial" w:hAnsi="Arial"/>
        </w:rPr>
        <w:t xml:space="preserve"> and the American Rescue Plan Act</w:t>
      </w:r>
      <w:r w:rsidR="007F4366" w:rsidRPr="007F4366">
        <w:rPr>
          <w:rFonts w:ascii="Arial" w:hAnsi="Arial"/>
        </w:rPr>
        <w:t xml:space="preserve"> </w:t>
      </w:r>
      <w:r w:rsidR="00744379">
        <w:rPr>
          <w:rFonts w:ascii="Arial" w:hAnsi="Arial"/>
        </w:rPr>
        <w:t xml:space="preserve">(ARPA) </w:t>
      </w:r>
      <w:proofErr w:type="gramStart"/>
      <w:r w:rsidR="007F4366" w:rsidRPr="007F4366">
        <w:rPr>
          <w:rFonts w:ascii="Arial" w:hAnsi="Arial"/>
        </w:rPr>
        <w:t>in order for</w:t>
      </w:r>
      <w:proofErr w:type="gramEnd"/>
      <w:r w:rsidR="007F4366" w:rsidRPr="007F4366">
        <w:rPr>
          <w:rFonts w:ascii="Arial" w:hAnsi="Arial"/>
        </w:rPr>
        <w:t xml:space="preserve"> OSC to properly report the</w:t>
      </w:r>
      <w:r w:rsidR="007F4366">
        <w:rPr>
          <w:rFonts w:ascii="Arial" w:hAnsi="Arial"/>
        </w:rPr>
        <w:t xml:space="preserve"> </w:t>
      </w:r>
      <w:r w:rsidR="007F4366" w:rsidRPr="007F4366">
        <w:rPr>
          <w:rFonts w:ascii="Arial" w:hAnsi="Arial"/>
        </w:rPr>
        <w:t xml:space="preserve">information in the </w:t>
      </w:r>
      <w:r w:rsidR="0005010A">
        <w:rPr>
          <w:rFonts w:ascii="Arial" w:hAnsi="Arial"/>
        </w:rPr>
        <w:t>ACFR</w:t>
      </w:r>
      <w:r w:rsidR="007F4366" w:rsidRPr="007F4366">
        <w:rPr>
          <w:rFonts w:ascii="Arial" w:hAnsi="Arial"/>
        </w:rPr>
        <w:t xml:space="preserve">. </w:t>
      </w:r>
      <w:r w:rsidR="0005010A">
        <w:rPr>
          <w:rFonts w:ascii="Arial" w:hAnsi="Arial"/>
        </w:rPr>
        <w:t xml:space="preserve"> </w:t>
      </w:r>
      <w:r w:rsidR="007F4366">
        <w:rPr>
          <w:rFonts w:ascii="Arial" w:hAnsi="Arial"/>
        </w:rPr>
        <w:t>OSC</w:t>
      </w:r>
      <w:r w:rsidR="00F142D4">
        <w:rPr>
          <w:rFonts w:ascii="Arial" w:hAnsi="Arial"/>
        </w:rPr>
        <w:t xml:space="preserve"> </w:t>
      </w:r>
      <w:r w:rsidR="007F4366">
        <w:rPr>
          <w:rFonts w:ascii="Arial" w:hAnsi="Arial"/>
        </w:rPr>
        <w:t>report</w:t>
      </w:r>
      <w:r w:rsidR="00F142D4">
        <w:rPr>
          <w:rFonts w:ascii="Arial" w:hAnsi="Arial"/>
        </w:rPr>
        <w:t>s</w:t>
      </w:r>
      <w:r w:rsidR="007F4366">
        <w:rPr>
          <w:rFonts w:ascii="Arial" w:hAnsi="Arial"/>
        </w:rPr>
        <w:t xml:space="preserve"> federal </w:t>
      </w:r>
      <w:r w:rsidR="00AE6D58">
        <w:rPr>
          <w:rFonts w:ascii="Arial" w:hAnsi="Arial"/>
        </w:rPr>
        <w:t>revenues</w:t>
      </w:r>
      <w:r w:rsidR="007F4366">
        <w:rPr>
          <w:rFonts w:ascii="Arial" w:hAnsi="Arial"/>
        </w:rPr>
        <w:t xml:space="preserve"> related to COVID-19 separately from other federal </w:t>
      </w:r>
      <w:r w:rsidR="00AE6D58">
        <w:rPr>
          <w:rFonts w:ascii="Arial" w:hAnsi="Arial"/>
        </w:rPr>
        <w:t>revenues</w:t>
      </w:r>
      <w:r w:rsidR="007F4366">
        <w:rPr>
          <w:rFonts w:ascii="Arial" w:hAnsi="Arial"/>
        </w:rPr>
        <w:t xml:space="preserve">. This worksheet will provide the information necessary to break out the COVID-19 federal revenues. </w:t>
      </w:r>
      <w:r w:rsidR="007F4366" w:rsidRPr="00E0100B">
        <w:rPr>
          <w:rFonts w:ascii="Arial" w:hAnsi="Arial"/>
          <w:b/>
          <w:bCs/>
          <w:i/>
          <w:iCs/>
        </w:rPr>
        <w:t xml:space="preserve">Any agency that received COVID-19 funds </w:t>
      </w:r>
      <w:r w:rsidR="007F4366" w:rsidRPr="00E0100B">
        <w:rPr>
          <w:rFonts w:ascii="Arial" w:hAnsi="Arial"/>
          <w:b/>
          <w:bCs/>
          <w:i/>
          <w:iCs/>
          <w:u w:val="single"/>
        </w:rPr>
        <w:t>directly</w:t>
      </w:r>
      <w:r w:rsidR="007F4366" w:rsidRPr="00E0100B">
        <w:rPr>
          <w:rFonts w:ascii="Arial" w:hAnsi="Arial"/>
          <w:b/>
          <w:bCs/>
          <w:i/>
          <w:iCs/>
        </w:rPr>
        <w:t xml:space="preserve"> from federal agencies</w:t>
      </w:r>
      <w:r w:rsidR="007F4366" w:rsidRPr="007F4366">
        <w:rPr>
          <w:rFonts w:ascii="Arial" w:hAnsi="Arial"/>
        </w:rPr>
        <w:t xml:space="preserve"> (not indirectly from another state or local</w:t>
      </w:r>
      <w:r w:rsidR="00E0100B">
        <w:rPr>
          <w:rFonts w:ascii="Arial" w:hAnsi="Arial"/>
        </w:rPr>
        <w:t xml:space="preserve"> </w:t>
      </w:r>
      <w:r w:rsidR="007F4366" w:rsidRPr="007F4366">
        <w:rPr>
          <w:rFonts w:ascii="Arial" w:hAnsi="Arial"/>
        </w:rPr>
        <w:t xml:space="preserve">agency) </w:t>
      </w:r>
      <w:r w:rsidR="007F4366" w:rsidRPr="00E0100B">
        <w:rPr>
          <w:rFonts w:ascii="Arial" w:hAnsi="Arial"/>
          <w:b/>
          <w:bCs/>
          <w:i/>
          <w:iCs/>
        </w:rPr>
        <w:t xml:space="preserve">is required to complete </w:t>
      </w:r>
      <w:r>
        <w:rPr>
          <w:rFonts w:ascii="Arial" w:hAnsi="Arial"/>
          <w:b/>
          <w:bCs/>
          <w:i/>
          <w:iCs/>
        </w:rPr>
        <w:t xml:space="preserve">section B of </w:t>
      </w:r>
      <w:r w:rsidR="007F4366" w:rsidRPr="00E0100B">
        <w:rPr>
          <w:rFonts w:ascii="Arial" w:hAnsi="Arial"/>
          <w:b/>
          <w:bCs/>
          <w:i/>
          <w:iCs/>
        </w:rPr>
        <w:t>this worksheet.</w:t>
      </w:r>
      <w:r w:rsidR="007F4366" w:rsidRPr="007F4366">
        <w:rPr>
          <w:rFonts w:ascii="Arial" w:hAnsi="Arial"/>
        </w:rPr>
        <w:t xml:space="preserve"> If</w:t>
      </w:r>
      <w:r w:rsidR="007F4366">
        <w:rPr>
          <w:rFonts w:ascii="Arial" w:hAnsi="Arial"/>
        </w:rPr>
        <w:t xml:space="preserve"> there is not sufficient</w:t>
      </w:r>
      <w:r w:rsidR="007F4366" w:rsidRPr="007F4366">
        <w:rPr>
          <w:rFonts w:ascii="Arial" w:hAnsi="Arial"/>
        </w:rPr>
        <w:t xml:space="preserve"> space </w:t>
      </w:r>
      <w:r w:rsidR="007F4366">
        <w:rPr>
          <w:rFonts w:ascii="Arial" w:hAnsi="Arial"/>
        </w:rPr>
        <w:t xml:space="preserve">to provide this information on the </w:t>
      </w:r>
      <w:r w:rsidR="00E0100B">
        <w:rPr>
          <w:rFonts w:ascii="Arial" w:hAnsi="Arial"/>
        </w:rPr>
        <w:t>375</w:t>
      </w:r>
      <w:r w:rsidR="001E5485">
        <w:rPr>
          <w:rFonts w:ascii="Arial" w:hAnsi="Arial"/>
        </w:rPr>
        <w:t>-A</w:t>
      </w:r>
      <w:r w:rsidR="00E0100B">
        <w:rPr>
          <w:rFonts w:ascii="Arial" w:hAnsi="Arial"/>
        </w:rPr>
        <w:t xml:space="preserve"> Worksheet, </w:t>
      </w:r>
      <w:r w:rsidR="007F4366" w:rsidRPr="007F4366">
        <w:rPr>
          <w:rFonts w:ascii="Arial" w:hAnsi="Arial"/>
        </w:rPr>
        <w:t xml:space="preserve">an additional tab can be added to this workbook </w:t>
      </w:r>
      <w:r w:rsidR="00E0100B">
        <w:rPr>
          <w:rFonts w:ascii="Arial" w:hAnsi="Arial"/>
        </w:rPr>
        <w:t xml:space="preserve">using the instructions on the “Instruct” tab in the </w:t>
      </w:r>
      <w:r w:rsidR="0005010A">
        <w:rPr>
          <w:rFonts w:ascii="Arial" w:hAnsi="Arial"/>
        </w:rPr>
        <w:t>ACFR</w:t>
      </w:r>
      <w:r w:rsidR="00E0100B">
        <w:rPr>
          <w:rFonts w:ascii="Arial" w:hAnsi="Arial"/>
        </w:rPr>
        <w:t xml:space="preserve"> package </w:t>
      </w:r>
      <w:r w:rsidR="007F4366" w:rsidRPr="007F4366">
        <w:rPr>
          <w:rFonts w:ascii="Arial" w:hAnsi="Arial"/>
        </w:rPr>
        <w:t>or you can submit a</w:t>
      </w:r>
      <w:r w:rsidR="007F4366">
        <w:rPr>
          <w:rFonts w:ascii="Arial" w:hAnsi="Arial"/>
        </w:rPr>
        <w:t xml:space="preserve"> </w:t>
      </w:r>
      <w:r w:rsidR="007F4366" w:rsidRPr="007F4366">
        <w:rPr>
          <w:rFonts w:ascii="Arial" w:hAnsi="Arial"/>
        </w:rPr>
        <w:t xml:space="preserve">separate spreadsheet with the </w:t>
      </w:r>
      <w:r w:rsidR="0005010A">
        <w:rPr>
          <w:rFonts w:ascii="Arial" w:hAnsi="Arial"/>
        </w:rPr>
        <w:t>ACFR</w:t>
      </w:r>
      <w:r w:rsidR="007F4366" w:rsidRPr="007F4366">
        <w:rPr>
          <w:rFonts w:ascii="Arial" w:hAnsi="Arial"/>
        </w:rPr>
        <w:t xml:space="preserve"> package. If</w:t>
      </w:r>
      <w:r w:rsidR="00E0100B">
        <w:rPr>
          <w:rFonts w:ascii="Arial" w:hAnsi="Arial"/>
        </w:rPr>
        <w:t xml:space="preserve"> </w:t>
      </w:r>
      <w:r w:rsidR="007F4366" w:rsidRPr="007F4366">
        <w:rPr>
          <w:rFonts w:ascii="Arial" w:hAnsi="Arial"/>
        </w:rPr>
        <w:t>information is provided</w:t>
      </w:r>
      <w:r w:rsidR="00E0100B">
        <w:rPr>
          <w:rFonts w:ascii="Arial" w:hAnsi="Arial"/>
        </w:rPr>
        <w:t xml:space="preserve"> on a separate worksheet or in another spreadsheet</w:t>
      </w:r>
      <w:r w:rsidR="007F4366" w:rsidRPr="007F4366">
        <w:rPr>
          <w:rFonts w:ascii="Arial" w:hAnsi="Arial"/>
        </w:rPr>
        <w:t>, add a reference in the appropriate section</w:t>
      </w:r>
      <w:r w:rsidR="00E0100B">
        <w:rPr>
          <w:rFonts w:ascii="Arial" w:hAnsi="Arial"/>
        </w:rPr>
        <w:t xml:space="preserve"> of the 375</w:t>
      </w:r>
      <w:r w:rsidR="00AE6D58">
        <w:rPr>
          <w:rFonts w:ascii="Arial" w:hAnsi="Arial"/>
        </w:rPr>
        <w:t>-A</w:t>
      </w:r>
      <w:r w:rsidR="00E0100B">
        <w:rPr>
          <w:rFonts w:ascii="Arial" w:hAnsi="Arial"/>
        </w:rPr>
        <w:t xml:space="preserve"> Worksheet</w:t>
      </w:r>
      <w:r w:rsidR="00975B6B">
        <w:rPr>
          <w:rFonts w:ascii="Arial" w:hAnsi="Arial"/>
        </w:rPr>
        <w:t xml:space="preserve"> so OSC will know where to find the information</w:t>
      </w:r>
      <w:r w:rsidR="00E0100B">
        <w:rPr>
          <w:rFonts w:ascii="Arial" w:hAnsi="Arial"/>
        </w:rPr>
        <w:t>.</w:t>
      </w:r>
      <w:r w:rsidR="00975B6B">
        <w:rPr>
          <w:rFonts w:ascii="Arial" w:hAnsi="Arial"/>
        </w:rPr>
        <w:t xml:space="preserve"> Ensure all required information is submitted. </w:t>
      </w:r>
    </w:p>
    <w:p w14:paraId="178FC31A" w14:textId="77777777" w:rsidR="00AE6D58" w:rsidRDefault="00AE6D58" w:rsidP="007F4366">
      <w:pPr>
        <w:rPr>
          <w:rFonts w:ascii="Arial" w:hAnsi="Arial" w:cs="Arial"/>
        </w:rPr>
      </w:pPr>
    </w:p>
    <w:p w14:paraId="648F4DCF" w14:textId="731C003F" w:rsidR="00AE6D58" w:rsidRDefault="00AE6D58" w:rsidP="007F4366">
      <w:pPr>
        <w:rPr>
          <w:rFonts w:ascii="Arial" w:hAnsi="Arial" w:cs="Arial"/>
        </w:rPr>
      </w:pPr>
      <w:r>
        <w:rPr>
          <w:rFonts w:ascii="Arial" w:hAnsi="Arial" w:cs="Arial"/>
        </w:rPr>
        <w:t>Account Number</w:t>
      </w:r>
      <w:proofErr w:type="gramStart"/>
      <w:r>
        <w:rPr>
          <w:rFonts w:ascii="Arial" w:hAnsi="Arial" w:cs="Arial"/>
        </w:rPr>
        <w:t>:  The</w:t>
      </w:r>
      <w:proofErr w:type="gramEnd"/>
      <w:r>
        <w:rPr>
          <w:rFonts w:ascii="Arial" w:hAnsi="Arial" w:cs="Arial"/>
        </w:rPr>
        <w:t xml:space="preserve"> account number will be </w:t>
      </w:r>
      <w:proofErr w:type="gramStart"/>
      <w:r>
        <w:rPr>
          <w:rFonts w:ascii="Arial" w:hAnsi="Arial" w:cs="Arial"/>
        </w:rPr>
        <w:t xml:space="preserve">the </w:t>
      </w:r>
      <w:r w:rsidR="00264CCF">
        <w:rPr>
          <w:rFonts w:ascii="Arial" w:hAnsi="Arial" w:cs="Arial"/>
        </w:rPr>
        <w:t>421</w:t>
      </w:r>
      <w:proofErr w:type="gramEnd"/>
      <w:r w:rsidR="0092603B">
        <w:rPr>
          <w:rFonts w:ascii="Arial" w:hAnsi="Arial" w:cs="Arial"/>
        </w:rPr>
        <w:t>XX</w:t>
      </w:r>
      <w:r>
        <w:rPr>
          <w:rFonts w:ascii="Arial" w:hAnsi="Arial" w:cs="Arial"/>
        </w:rPr>
        <w:t>XXX</w:t>
      </w:r>
      <w:r w:rsidR="0092603B">
        <w:rPr>
          <w:rFonts w:ascii="Arial" w:hAnsi="Arial" w:cs="Arial"/>
        </w:rPr>
        <w:t xml:space="preserve">, </w:t>
      </w:r>
      <w:r w:rsidR="003A4382">
        <w:rPr>
          <w:rFonts w:ascii="Arial" w:hAnsi="Arial" w:cs="Arial"/>
        </w:rPr>
        <w:t>42DXXXXX, 427XXXXX</w:t>
      </w:r>
      <w:r>
        <w:rPr>
          <w:rFonts w:ascii="Arial" w:hAnsi="Arial" w:cs="Arial"/>
        </w:rPr>
        <w:t xml:space="preserve"> account</w:t>
      </w:r>
      <w:r w:rsidR="003A4382">
        <w:rPr>
          <w:rFonts w:ascii="Arial" w:hAnsi="Arial" w:cs="Arial"/>
        </w:rPr>
        <w:t>s</w:t>
      </w:r>
      <w:r>
        <w:rPr>
          <w:rFonts w:ascii="Arial" w:hAnsi="Arial" w:cs="Arial"/>
        </w:rPr>
        <w:t xml:space="preserve"> that </w:t>
      </w:r>
      <w:proofErr w:type="gramStart"/>
      <w:r>
        <w:rPr>
          <w:rFonts w:ascii="Arial" w:hAnsi="Arial" w:cs="Arial"/>
        </w:rPr>
        <w:t>was</w:t>
      </w:r>
      <w:proofErr w:type="gramEnd"/>
      <w:r>
        <w:rPr>
          <w:rFonts w:ascii="Arial" w:hAnsi="Arial" w:cs="Arial"/>
        </w:rPr>
        <w:t xml:space="preserve"> used to record the federal </w:t>
      </w:r>
      <w:r w:rsidR="00C31664">
        <w:rPr>
          <w:rFonts w:ascii="Arial" w:hAnsi="Arial" w:cs="Arial"/>
        </w:rPr>
        <w:t xml:space="preserve">COVID-19 </w:t>
      </w:r>
      <w:r>
        <w:rPr>
          <w:rFonts w:ascii="Arial" w:hAnsi="Arial" w:cs="Arial"/>
        </w:rPr>
        <w:t xml:space="preserve">revenues received directly from the federal agencies. </w:t>
      </w:r>
    </w:p>
    <w:p w14:paraId="307D68EB" w14:textId="77777777" w:rsidR="00AE6D58" w:rsidRDefault="00AE6D58" w:rsidP="007F4366">
      <w:pPr>
        <w:rPr>
          <w:rFonts w:ascii="Arial" w:hAnsi="Arial" w:cs="Arial"/>
        </w:rPr>
      </w:pPr>
    </w:p>
    <w:p w14:paraId="3A4262AA" w14:textId="2257E239" w:rsidR="007F4366" w:rsidRDefault="00AE6D58" w:rsidP="007F4366">
      <w:pPr>
        <w:rPr>
          <w:rFonts w:ascii="Arial" w:hAnsi="Arial" w:cs="Arial"/>
        </w:rPr>
      </w:pPr>
      <w:r>
        <w:rPr>
          <w:rFonts w:ascii="Arial" w:hAnsi="Arial" w:cs="Arial"/>
        </w:rPr>
        <w:t>Budget Code</w:t>
      </w:r>
      <w:proofErr w:type="gramStart"/>
      <w:r>
        <w:rPr>
          <w:rFonts w:ascii="Arial" w:hAnsi="Arial" w:cs="Arial"/>
        </w:rPr>
        <w:t>:  We</w:t>
      </w:r>
      <w:proofErr w:type="gramEnd"/>
      <w:r>
        <w:rPr>
          <w:rFonts w:ascii="Arial" w:hAnsi="Arial" w:cs="Arial"/>
        </w:rPr>
        <w:t xml:space="preserve"> anticipate that these revenues will be reported in a 3</w:t>
      </w:r>
      <w:r w:rsidR="005502A1">
        <w:rPr>
          <w:rFonts w:ascii="Arial" w:hAnsi="Arial" w:cs="Arial"/>
        </w:rPr>
        <w:t>-</w:t>
      </w:r>
      <w:r>
        <w:rPr>
          <w:rFonts w:ascii="Arial" w:hAnsi="Arial" w:cs="Arial"/>
        </w:rPr>
        <w:t xml:space="preserve">type budget code. </w:t>
      </w:r>
    </w:p>
    <w:p w14:paraId="1E2A00D2" w14:textId="4C6E3761" w:rsidR="00AE6D58" w:rsidRDefault="00AE6D58" w:rsidP="007F4366">
      <w:pPr>
        <w:rPr>
          <w:rFonts w:ascii="Arial" w:hAnsi="Arial" w:cs="Arial"/>
        </w:rPr>
      </w:pPr>
    </w:p>
    <w:p w14:paraId="1C110E55" w14:textId="44D12BFA" w:rsidR="00AE6D58" w:rsidRDefault="004B21F3" w:rsidP="007F4366">
      <w:pPr>
        <w:rPr>
          <w:rFonts w:ascii="Arial" w:hAnsi="Arial" w:cs="Arial"/>
        </w:rPr>
      </w:pPr>
      <w:r>
        <w:rPr>
          <w:rFonts w:ascii="Arial" w:hAnsi="Arial" w:cs="Arial"/>
        </w:rPr>
        <w:t>Budget Fund</w:t>
      </w:r>
      <w:proofErr w:type="gramStart"/>
      <w:r w:rsidR="00975B6B">
        <w:rPr>
          <w:rFonts w:ascii="Arial" w:hAnsi="Arial" w:cs="Arial"/>
        </w:rPr>
        <w:t>:  Provide</w:t>
      </w:r>
      <w:proofErr w:type="gramEnd"/>
      <w:r w:rsidR="00975B6B">
        <w:rPr>
          <w:rFonts w:ascii="Arial" w:hAnsi="Arial" w:cs="Arial"/>
        </w:rPr>
        <w:t xml:space="preserve"> the </w:t>
      </w:r>
      <w:r w:rsidR="00975B6B" w:rsidRPr="00975B6B">
        <w:rPr>
          <w:rFonts w:ascii="Arial" w:hAnsi="Arial" w:cs="Arial"/>
        </w:rPr>
        <w:t>f</w:t>
      </w:r>
      <w:r w:rsidR="00AE6D58" w:rsidRPr="00975B6B">
        <w:rPr>
          <w:rFonts w:ascii="Arial" w:hAnsi="Arial" w:cs="Arial"/>
        </w:rPr>
        <w:t>ull</w:t>
      </w:r>
      <w:r w:rsidR="00AE6D58">
        <w:rPr>
          <w:rFonts w:ascii="Arial" w:hAnsi="Arial" w:cs="Arial"/>
        </w:rPr>
        <w:t xml:space="preserve"> </w:t>
      </w:r>
      <w:r>
        <w:rPr>
          <w:rFonts w:ascii="Arial" w:hAnsi="Arial" w:cs="Arial"/>
        </w:rPr>
        <w:t>budget fund</w:t>
      </w:r>
      <w:r w:rsidR="00AE6D58">
        <w:rPr>
          <w:rFonts w:ascii="Arial" w:hAnsi="Arial" w:cs="Arial"/>
        </w:rPr>
        <w:t xml:space="preserve">. </w:t>
      </w:r>
    </w:p>
    <w:p w14:paraId="4EFC8859" w14:textId="77777777" w:rsidR="00AE6D58" w:rsidRDefault="00AE6D58" w:rsidP="007F4366">
      <w:pPr>
        <w:rPr>
          <w:rFonts w:ascii="Arial" w:hAnsi="Arial" w:cs="Arial"/>
        </w:rPr>
      </w:pPr>
    </w:p>
    <w:p w14:paraId="3B4F5BD4" w14:textId="514C2BF0" w:rsidR="00AE6D58" w:rsidRDefault="00AE6D58" w:rsidP="007F4366">
      <w:pPr>
        <w:rPr>
          <w:rFonts w:ascii="Arial" w:hAnsi="Arial" w:cs="Arial"/>
        </w:rPr>
      </w:pPr>
      <w:r>
        <w:rPr>
          <w:rFonts w:ascii="Arial" w:hAnsi="Arial" w:cs="Arial"/>
        </w:rPr>
        <w:t>Cash Basis</w:t>
      </w:r>
      <w:proofErr w:type="gramStart"/>
      <w:r>
        <w:rPr>
          <w:rFonts w:ascii="Arial" w:hAnsi="Arial" w:cs="Arial"/>
        </w:rPr>
        <w:t xml:space="preserve">:  </w:t>
      </w:r>
      <w:r w:rsidR="00975B6B">
        <w:rPr>
          <w:rFonts w:ascii="Arial" w:hAnsi="Arial" w:cs="Arial"/>
        </w:rPr>
        <w:t>Provide</w:t>
      </w:r>
      <w:proofErr w:type="gramEnd"/>
      <w:r w:rsidR="00975B6B">
        <w:rPr>
          <w:rFonts w:ascii="Arial" w:hAnsi="Arial" w:cs="Arial"/>
        </w:rPr>
        <w:t xml:space="preserve"> the </w:t>
      </w:r>
      <w:proofErr w:type="gramStart"/>
      <w:r w:rsidR="00975B6B">
        <w:rPr>
          <w:rFonts w:ascii="Arial" w:hAnsi="Arial" w:cs="Arial"/>
        </w:rPr>
        <w:t>c</w:t>
      </w:r>
      <w:r>
        <w:rPr>
          <w:rFonts w:ascii="Arial" w:hAnsi="Arial" w:cs="Arial"/>
        </w:rPr>
        <w:t>ash basis</w:t>
      </w:r>
      <w:proofErr w:type="gramEnd"/>
      <w:r w:rsidR="00975B6B">
        <w:rPr>
          <w:rFonts w:ascii="Arial" w:hAnsi="Arial" w:cs="Arial"/>
        </w:rPr>
        <w:t xml:space="preserve"> revenue amount</w:t>
      </w:r>
      <w:r>
        <w:rPr>
          <w:rFonts w:ascii="Arial" w:hAnsi="Arial" w:cs="Arial"/>
        </w:rPr>
        <w:t xml:space="preserve"> </w:t>
      </w:r>
      <w:r w:rsidR="00975B6B">
        <w:rPr>
          <w:rFonts w:ascii="Arial" w:hAnsi="Arial" w:cs="Arial"/>
        </w:rPr>
        <w:t xml:space="preserve">for COVID-19 funds received directly from federal agencies </w:t>
      </w:r>
      <w:r>
        <w:rPr>
          <w:rFonts w:ascii="Arial" w:hAnsi="Arial" w:cs="Arial"/>
        </w:rPr>
        <w:t>a</w:t>
      </w:r>
      <w:r w:rsidR="00975B6B">
        <w:rPr>
          <w:rFonts w:ascii="Arial" w:hAnsi="Arial" w:cs="Arial"/>
        </w:rPr>
        <w:t xml:space="preserve">s </w:t>
      </w:r>
      <w:r w:rsidR="00D77894">
        <w:rPr>
          <w:rFonts w:ascii="Arial" w:hAnsi="Arial" w:cs="Arial"/>
        </w:rPr>
        <w:t xml:space="preserve">of the end of the cash </w:t>
      </w:r>
      <w:proofErr w:type="gramStart"/>
      <w:r w:rsidR="00D77894">
        <w:rPr>
          <w:rFonts w:ascii="Arial" w:hAnsi="Arial" w:cs="Arial"/>
        </w:rPr>
        <w:t xml:space="preserve">period </w:t>
      </w:r>
      <w:r>
        <w:rPr>
          <w:rFonts w:ascii="Arial" w:hAnsi="Arial" w:cs="Arial"/>
        </w:rPr>
        <w:t>.</w:t>
      </w:r>
      <w:proofErr w:type="gramEnd"/>
      <w:r>
        <w:rPr>
          <w:rFonts w:ascii="Arial" w:hAnsi="Arial" w:cs="Arial"/>
        </w:rPr>
        <w:t xml:space="preserve"> </w:t>
      </w:r>
      <w:r w:rsidR="00975B6B">
        <w:rPr>
          <w:rFonts w:ascii="Arial" w:hAnsi="Arial" w:cs="Arial"/>
        </w:rPr>
        <w:t xml:space="preserve">This is the </w:t>
      </w:r>
      <w:proofErr w:type="gramStart"/>
      <w:r w:rsidR="00975B6B">
        <w:rPr>
          <w:rFonts w:ascii="Arial" w:hAnsi="Arial" w:cs="Arial"/>
        </w:rPr>
        <w:t>cash basis</w:t>
      </w:r>
      <w:proofErr w:type="gramEnd"/>
      <w:r w:rsidR="00975B6B">
        <w:rPr>
          <w:rFonts w:ascii="Arial" w:hAnsi="Arial" w:cs="Arial"/>
        </w:rPr>
        <w:t xml:space="preserve"> amount before accruals are posted. This amount will be presented as actual </w:t>
      </w:r>
      <w:r w:rsidR="005502A1">
        <w:rPr>
          <w:rFonts w:ascii="Arial" w:hAnsi="Arial" w:cs="Arial"/>
        </w:rPr>
        <w:t>f</w:t>
      </w:r>
      <w:r w:rsidR="00975B6B">
        <w:rPr>
          <w:rFonts w:ascii="Arial" w:hAnsi="Arial" w:cs="Arial"/>
        </w:rPr>
        <w:t xml:space="preserve">ederal COVID-19 revenues in the </w:t>
      </w:r>
      <w:r>
        <w:rPr>
          <w:rFonts w:ascii="Arial" w:hAnsi="Arial" w:cs="Arial"/>
        </w:rPr>
        <w:t>budget to actual financial statements</w:t>
      </w:r>
      <w:r w:rsidR="00975B6B">
        <w:rPr>
          <w:rFonts w:ascii="Arial" w:hAnsi="Arial" w:cs="Arial"/>
        </w:rPr>
        <w:t xml:space="preserve"> presented in the </w:t>
      </w:r>
      <w:r w:rsidR="005502A1">
        <w:rPr>
          <w:rFonts w:ascii="Arial" w:hAnsi="Arial" w:cs="Arial"/>
        </w:rPr>
        <w:t>ACFR</w:t>
      </w:r>
      <w:r>
        <w:rPr>
          <w:rFonts w:ascii="Arial" w:hAnsi="Arial" w:cs="Arial"/>
        </w:rPr>
        <w:t xml:space="preserve">. </w:t>
      </w:r>
    </w:p>
    <w:p w14:paraId="093C3E58" w14:textId="67306DF0" w:rsidR="00AE6D58" w:rsidRDefault="00AE6D58" w:rsidP="007F4366">
      <w:pPr>
        <w:rPr>
          <w:rFonts w:ascii="Arial" w:hAnsi="Arial" w:cs="Arial"/>
        </w:rPr>
      </w:pPr>
    </w:p>
    <w:p w14:paraId="47F68454" w14:textId="20329188" w:rsidR="00AE6D58" w:rsidRDefault="00AE6D58" w:rsidP="007F4366">
      <w:pPr>
        <w:rPr>
          <w:rFonts w:ascii="Arial" w:hAnsi="Arial" w:cs="Arial"/>
        </w:rPr>
      </w:pPr>
      <w:r>
        <w:rPr>
          <w:rFonts w:ascii="Arial" w:hAnsi="Arial" w:cs="Arial"/>
        </w:rPr>
        <w:t>Accrual Basis</w:t>
      </w:r>
      <w:proofErr w:type="gramStart"/>
      <w:r>
        <w:rPr>
          <w:rFonts w:ascii="Arial" w:hAnsi="Arial" w:cs="Arial"/>
        </w:rPr>
        <w:t xml:space="preserve">:  </w:t>
      </w:r>
      <w:r w:rsidR="00975B6B">
        <w:rPr>
          <w:rFonts w:ascii="Arial" w:hAnsi="Arial" w:cs="Arial"/>
        </w:rPr>
        <w:t>Provide</w:t>
      </w:r>
      <w:proofErr w:type="gramEnd"/>
      <w:r w:rsidR="00975B6B">
        <w:rPr>
          <w:rFonts w:ascii="Arial" w:hAnsi="Arial" w:cs="Arial"/>
        </w:rPr>
        <w:t xml:space="preserve"> the </w:t>
      </w:r>
      <w:r>
        <w:rPr>
          <w:rFonts w:ascii="Arial" w:hAnsi="Arial" w:cs="Arial"/>
        </w:rPr>
        <w:t xml:space="preserve">GAAP basis </w:t>
      </w:r>
      <w:r w:rsidR="00975B6B">
        <w:rPr>
          <w:rFonts w:ascii="Arial" w:hAnsi="Arial" w:cs="Arial"/>
        </w:rPr>
        <w:t>revenue amount for COVID-19 funds received directly from federal agencies a</w:t>
      </w:r>
      <w:r>
        <w:rPr>
          <w:rFonts w:ascii="Arial" w:hAnsi="Arial" w:cs="Arial"/>
        </w:rPr>
        <w:t xml:space="preserve">fter accruals have been </w:t>
      </w:r>
      <w:r w:rsidR="00975B6B">
        <w:rPr>
          <w:rFonts w:ascii="Arial" w:hAnsi="Arial" w:cs="Arial"/>
        </w:rPr>
        <w:t xml:space="preserve">posted as of </w:t>
      </w:r>
      <w:r w:rsidR="00952F30">
        <w:rPr>
          <w:rFonts w:ascii="Arial" w:hAnsi="Arial" w:cs="Arial"/>
        </w:rPr>
        <w:t>the accrual period</w:t>
      </w:r>
      <w:r w:rsidR="007C44A1">
        <w:rPr>
          <w:rFonts w:ascii="Arial" w:hAnsi="Arial" w:cs="Arial"/>
        </w:rPr>
        <w:t xml:space="preserve">, </w:t>
      </w:r>
      <w:proofErr w:type="gramStart"/>
      <w:r w:rsidR="007C44A1">
        <w:rPr>
          <w:rFonts w:ascii="Arial" w:hAnsi="Arial" w:cs="Arial"/>
        </w:rPr>
        <w:t>6//</w:t>
      </w:r>
      <w:proofErr w:type="gramEnd"/>
      <w:r w:rsidR="007C44A1">
        <w:rPr>
          <w:rFonts w:ascii="Arial" w:hAnsi="Arial" w:cs="Arial"/>
        </w:rPr>
        <w:t>30.</w:t>
      </w:r>
      <w:r w:rsidR="00975B6B">
        <w:rPr>
          <w:rFonts w:ascii="Arial" w:hAnsi="Arial" w:cs="Arial"/>
        </w:rPr>
        <w:t xml:space="preserve"> </w:t>
      </w:r>
      <w:r w:rsidR="007C44A1">
        <w:rPr>
          <w:rFonts w:ascii="Arial" w:hAnsi="Arial" w:cs="Arial"/>
        </w:rPr>
        <w:t xml:space="preserve"> </w:t>
      </w:r>
      <w:r w:rsidR="00975B6B">
        <w:rPr>
          <w:rFonts w:ascii="Arial" w:hAnsi="Arial" w:cs="Arial"/>
        </w:rPr>
        <w:t xml:space="preserve">This amount will be presented as Federal COVID-19 revenues in the basic financial statements presented in the </w:t>
      </w:r>
      <w:r w:rsidR="005502A1">
        <w:rPr>
          <w:rFonts w:ascii="Arial" w:hAnsi="Arial" w:cs="Arial"/>
        </w:rPr>
        <w:t>ACFR</w:t>
      </w:r>
      <w:r w:rsidR="00975B6B">
        <w:rPr>
          <w:rFonts w:ascii="Arial" w:hAnsi="Arial" w:cs="Arial"/>
        </w:rPr>
        <w:t xml:space="preserve">. </w:t>
      </w:r>
    </w:p>
    <w:p w14:paraId="68B494DE" w14:textId="72C00211" w:rsidR="0028018C" w:rsidRDefault="0028018C" w:rsidP="007F4366">
      <w:pPr>
        <w:rPr>
          <w:rFonts w:ascii="Arial" w:hAnsi="Arial" w:cs="Arial"/>
        </w:rPr>
      </w:pPr>
    </w:p>
    <w:p w14:paraId="256A3B57" w14:textId="1600C920" w:rsidR="00AE6D58" w:rsidRDefault="0028018C" w:rsidP="007F4366">
      <w:pPr>
        <w:rPr>
          <w:rFonts w:ascii="Arial" w:hAnsi="Arial" w:cs="Arial"/>
        </w:rPr>
      </w:pPr>
      <w:r>
        <w:rPr>
          <w:rFonts w:ascii="Arial" w:hAnsi="Arial" w:cs="Arial"/>
        </w:rPr>
        <w:t xml:space="preserve">Section B, item </w:t>
      </w:r>
      <w:proofErr w:type="gramStart"/>
      <w:r>
        <w:rPr>
          <w:rFonts w:ascii="Arial" w:hAnsi="Arial" w:cs="Arial"/>
        </w:rPr>
        <w:t>1 is</w:t>
      </w:r>
      <w:proofErr w:type="gramEnd"/>
      <w:r>
        <w:rPr>
          <w:rFonts w:ascii="Arial" w:hAnsi="Arial" w:cs="Arial"/>
        </w:rPr>
        <w:t xml:space="preserve"> to be completed by OSC FRU 90</w:t>
      </w:r>
      <w:r w:rsidR="00385BC5">
        <w:rPr>
          <w:rFonts w:ascii="Arial" w:hAnsi="Arial" w:cs="Arial"/>
        </w:rPr>
        <w:t xml:space="preserve"> </w:t>
      </w:r>
      <w:r>
        <w:rPr>
          <w:rFonts w:ascii="Arial" w:hAnsi="Arial" w:cs="Arial"/>
        </w:rPr>
        <w:t>only.</w:t>
      </w:r>
      <w:r w:rsidR="00385BC5">
        <w:rPr>
          <w:rFonts w:ascii="Arial" w:hAnsi="Arial" w:cs="Arial"/>
        </w:rPr>
        <w:t xml:space="preserve"> OSC FRU 90 will provide the federal revenues for the Coronavirus Relief Reserve</w:t>
      </w:r>
      <w:r w:rsidR="008415DE">
        <w:rPr>
          <w:rFonts w:ascii="Arial" w:hAnsi="Arial" w:cs="Arial"/>
        </w:rPr>
        <w:t xml:space="preserve"> and</w:t>
      </w:r>
      <w:r w:rsidR="00323A5F">
        <w:rPr>
          <w:rFonts w:ascii="Arial" w:hAnsi="Arial" w:cs="Arial"/>
        </w:rPr>
        <w:t xml:space="preserve"> Reserve</w:t>
      </w:r>
      <w:r w:rsidR="008415DE">
        <w:rPr>
          <w:rFonts w:ascii="Arial" w:hAnsi="Arial" w:cs="Arial"/>
        </w:rPr>
        <w:t xml:space="preserve">s for the American Rescue Plan </w:t>
      </w:r>
      <w:r w:rsidR="00744379">
        <w:rPr>
          <w:rFonts w:ascii="Arial" w:hAnsi="Arial" w:cs="Arial"/>
        </w:rPr>
        <w:t>Act</w:t>
      </w:r>
      <w:r w:rsidR="00385BC5">
        <w:rPr>
          <w:rFonts w:ascii="Arial" w:hAnsi="Arial" w:cs="Arial"/>
        </w:rPr>
        <w:t>.</w:t>
      </w:r>
    </w:p>
    <w:p w14:paraId="3DCB32FF" w14:textId="377044BE" w:rsidR="001E5485" w:rsidRDefault="001E5485" w:rsidP="007F4366">
      <w:pPr>
        <w:rPr>
          <w:rFonts w:ascii="Arial" w:hAnsi="Arial" w:cs="Arial"/>
        </w:rPr>
      </w:pPr>
    </w:p>
    <w:p w14:paraId="12CE63DB" w14:textId="39D8E3F4" w:rsidR="001E5485" w:rsidRPr="001E5485" w:rsidRDefault="001E5485" w:rsidP="001E5485">
      <w:pPr>
        <w:pStyle w:val="Heading3"/>
        <w:spacing w:line="240" w:lineRule="auto"/>
        <w:jc w:val="left"/>
        <w:rPr>
          <w:rFonts w:ascii="Arial" w:hAnsi="Arial"/>
          <w:u w:val="single"/>
          <w:lang w:val="en-US"/>
        </w:rPr>
      </w:pPr>
      <w:r>
        <w:rPr>
          <w:rFonts w:ascii="Arial" w:hAnsi="Arial"/>
          <w:u w:val="single"/>
          <w:lang w:val="en-US"/>
        </w:rPr>
        <w:t>Budget Reporting for Federal Coronavirus (COVID-19) Funds</w:t>
      </w:r>
      <w:r>
        <w:rPr>
          <w:rFonts w:ascii="Arial" w:hAnsi="Arial"/>
          <w:u w:val="single"/>
        </w:rPr>
        <w:t xml:space="preserve"> Worksheet (3</w:t>
      </w:r>
      <w:r>
        <w:rPr>
          <w:rFonts w:ascii="Arial" w:hAnsi="Arial"/>
          <w:u w:val="single"/>
          <w:lang w:val="en-US"/>
        </w:rPr>
        <w:t>7</w:t>
      </w:r>
      <w:r>
        <w:rPr>
          <w:rFonts w:ascii="Arial" w:hAnsi="Arial"/>
          <w:u w:val="single"/>
        </w:rPr>
        <w:t>5</w:t>
      </w:r>
      <w:r>
        <w:rPr>
          <w:rFonts w:ascii="Arial" w:hAnsi="Arial"/>
          <w:u w:val="single"/>
          <w:lang w:val="en-US"/>
        </w:rPr>
        <w:t>-B</w:t>
      </w:r>
      <w:r>
        <w:rPr>
          <w:rFonts w:ascii="Arial" w:hAnsi="Arial"/>
          <w:u w:val="single"/>
        </w:rPr>
        <w:t>)</w:t>
      </w:r>
    </w:p>
    <w:p w14:paraId="12D97E23" w14:textId="77777777" w:rsidR="001E5485" w:rsidRDefault="001E5485" w:rsidP="001E5485">
      <w:pPr>
        <w:rPr>
          <w:rFonts w:ascii="Arial" w:hAnsi="Arial"/>
        </w:rPr>
      </w:pPr>
    </w:p>
    <w:p w14:paraId="3CC8B352" w14:textId="48965E6A" w:rsidR="001E5485" w:rsidRDefault="001E5485" w:rsidP="001E5485">
      <w:pPr>
        <w:rPr>
          <w:rFonts w:ascii="Arial" w:hAnsi="Arial" w:cs="Arial"/>
        </w:rPr>
      </w:pPr>
      <w:r w:rsidRPr="00577830">
        <w:rPr>
          <w:rFonts w:ascii="Arial" w:hAnsi="Arial"/>
          <w:b/>
          <w:bCs/>
          <w:i/>
          <w:iCs/>
        </w:rPr>
        <w:t>All agencies are required to complete section A of this worksheet.</w:t>
      </w:r>
      <w:r>
        <w:rPr>
          <w:rFonts w:ascii="Arial" w:hAnsi="Arial"/>
        </w:rPr>
        <w:t xml:space="preserve"> Component units are not required to complete this worksheet. </w:t>
      </w:r>
      <w:r w:rsidRPr="007F4366">
        <w:rPr>
          <w:rFonts w:ascii="Arial" w:hAnsi="Arial"/>
        </w:rPr>
        <w:t xml:space="preserve">The purpose of this worksheet is to </w:t>
      </w:r>
      <w:r w:rsidRPr="0028018C">
        <w:rPr>
          <w:rFonts w:ascii="Arial" w:hAnsi="Arial"/>
          <w:b/>
          <w:bCs/>
        </w:rPr>
        <w:t xml:space="preserve">identify </w:t>
      </w:r>
      <w:r>
        <w:rPr>
          <w:rFonts w:ascii="Arial" w:hAnsi="Arial"/>
          <w:b/>
          <w:bCs/>
        </w:rPr>
        <w:t xml:space="preserve">1) </w:t>
      </w:r>
      <w:r w:rsidRPr="0028018C">
        <w:rPr>
          <w:rFonts w:ascii="Arial" w:hAnsi="Arial"/>
          <w:b/>
          <w:bCs/>
        </w:rPr>
        <w:t xml:space="preserve">the </w:t>
      </w:r>
      <w:r>
        <w:rPr>
          <w:rFonts w:ascii="Arial" w:hAnsi="Arial"/>
          <w:b/>
          <w:bCs/>
        </w:rPr>
        <w:t xml:space="preserve">certified budgeted </w:t>
      </w:r>
      <w:r w:rsidRPr="0028018C">
        <w:rPr>
          <w:rFonts w:ascii="Arial" w:hAnsi="Arial"/>
          <w:b/>
          <w:bCs/>
        </w:rPr>
        <w:t xml:space="preserve">amount </w:t>
      </w:r>
      <w:r>
        <w:rPr>
          <w:rFonts w:ascii="Arial" w:hAnsi="Arial"/>
          <w:b/>
          <w:bCs/>
        </w:rPr>
        <w:t xml:space="preserve">approved by the Governor and General Assembly and 2) the authorized budgeted amount approved by OSBM for </w:t>
      </w:r>
      <w:r w:rsidRPr="0028018C">
        <w:rPr>
          <w:rFonts w:ascii="Arial" w:hAnsi="Arial"/>
          <w:b/>
          <w:bCs/>
        </w:rPr>
        <w:t>federal revenues in response to the coronavirus disease (COVID-19</w:t>
      </w:r>
      <w:r w:rsidRPr="007F4366">
        <w:rPr>
          <w:rFonts w:ascii="Arial" w:hAnsi="Arial"/>
        </w:rPr>
        <w:t xml:space="preserve">) including federal funding from the Coronavirus Aid, Relief, and Economic Security (CARES) Act </w:t>
      </w:r>
      <w:r w:rsidR="00DA43F5">
        <w:rPr>
          <w:rFonts w:ascii="Arial" w:hAnsi="Arial"/>
        </w:rPr>
        <w:t>and the American Rescue Plan Act</w:t>
      </w:r>
      <w:r w:rsidR="00DA43F5" w:rsidRPr="007F4366">
        <w:rPr>
          <w:rFonts w:ascii="Arial" w:hAnsi="Arial"/>
        </w:rPr>
        <w:t xml:space="preserve"> </w:t>
      </w:r>
      <w:r w:rsidR="007A6609">
        <w:rPr>
          <w:rFonts w:ascii="Arial" w:hAnsi="Arial"/>
        </w:rPr>
        <w:t xml:space="preserve">(ARPA) </w:t>
      </w:r>
      <w:r w:rsidRPr="007F4366">
        <w:rPr>
          <w:rFonts w:ascii="Arial" w:hAnsi="Arial"/>
        </w:rPr>
        <w:t>in order for OSC to properly report the</w:t>
      </w:r>
      <w:r>
        <w:rPr>
          <w:rFonts w:ascii="Arial" w:hAnsi="Arial"/>
        </w:rPr>
        <w:t xml:space="preserve"> </w:t>
      </w:r>
      <w:r w:rsidRPr="007F4366">
        <w:rPr>
          <w:rFonts w:ascii="Arial" w:hAnsi="Arial"/>
        </w:rPr>
        <w:t xml:space="preserve">information in the </w:t>
      </w:r>
      <w:r w:rsidR="007A6609">
        <w:rPr>
          <w:rFonts w:ascii="Arial" w:hAnsi="Arial"/>
        </w:rPr>
        <w:t>ACFR</w:t>
      </w:r>
      <w:r w:rsidRPr="007F4366">
        <w:rPr>
          <w:rFonts w:ascii="Arial" w:hAnsi="Arial"/>
        </w:rPr>
        <w:t xml:space="preserve">. </w:t>
      </w:r>
      <w:r>
        <w:rPr>
          <w:rFonts w:ascii="Arial" w:hAnsi="Arial"/>
        </w:rPr>
        <w:t>OSC report</w:t>
      </w:r>
      <w:r w:rsidR="00FC6368">
        <w:rPr>
          <w:rFonts w:ascii="Arial" w:hAnsi="Arial"/>
        </w:rPr>
        <w:t>s</w:t>
      </w:r>
      <w:r>
        <w:rPr>
          <w:rFonts w:ascii="Arial" w:hAnsi="Arial"/>
        </w:rPr>
        <w:t xml:space="preserve"> budgeted federal revenues related to COVID-19 separately from other budgeted federal </w:t>
      </w:r>
      <w:r>
        <w:rPr>
          <w:rFonts w:ascii="Arial" w:hAnsi="Arial"/>
        </w:rPr>
        <w:lastRenderedPageBreak/>
        <w:t xml:space="preserve">revenues. This worksheet will provide the information necessary to break out the budgeted COVID-19 federal revenues. </w:t>
      </w:r>
      <w:r w:rsidRPr="00E0100B">
        <w:rPr>
          <w:rFonts w:ascii="Arial" w:hAnsi="Arial"/>
          <w:b/>
          <w:bCs/>
          <w:i/>
          <w:iCs/>
        </w:rPr>
        <w:t xml:space="preserve">Any agency that </w:t>
      </w:r>
      <w:proofErr w:type="gramStart"/>
      <w:r>
        <w:rPr>
          <w:rFonts w:ascii="Arial" w:hAnsi="Arial"/>
          <w:b/>
          <w:bCs/>
          <w:i/>
          <w:iCs/>
        </w:rPr>
        <w:t>was</w:t>
      </w:r>
      <w:proofErr w:type="gramEnd"/>
      <w:r>
        <w:rPr>
          <w:rFonts w:ascii="Arial" w:hAnsi="Arial"/>
          <w:b/>
          <w:bCs/>
          <w:i/>
          <w:iCs/>
        </w:rPr>
        <w:t xml:space="preserve"> budgeted federal revenues for </w:t>
      </w:r>
      <w:r w:rsidRPr="00E0100B">
        <w:rPr>
          <w:rFonts w:ascii="Arial" w:hAnsi="Arial"/>
          <w:b/>
          <w:bCs/>
          <w:i/>
          <w:iCs/>
        </w:rPr>
        <w:t>COVID-19 funds</w:t>
      </w:r>
      <w:r w:rsidRPr="001E5485">
        <w:rPr>
          <w:rFonts w:ascii="Arial" w:hAnsi="Arial"/>
          <w:b/>
          <w:bCs/>
          <w:i/>
          <w:iCs/>
        </w:rPr>
        <w:t xml:space="preserve"> </w:t>
      </w:r>
      <w:r w:rsidRPr="00E0100B">
        <w:rPr>
          <w:rFonts w:ascii="Arial" w:hAnsi="Arial"/>
          <w:b/>
          <w:bCs/>
          <w:i/>
          <w:iCs/>
        </w:rPr>
        <w:t xml:space="preserve">received </w:t>
      </w:r>
      <w:r w:rsidRPr="00E0100B">
        <w:rPr>
          <w:rFonts w:ascii="Arial" w:hAnsi="Arial"/>
          <w:b/>
          <w:bCs/>
          <w:i/>
          <w:iCs/>
          <w:u w:val="single"/>
        </w:rPr>
        <w:t>directly</w:t>
      </w:r>
      <w:r w:rsidRPr="00E0100B">
        <w:rPr>
          <w:rFonts w:ascii="Arial" w:hAnsi="Arial"/>
          <w:b/>
          <w:bCs/>
          <w:i/>
          <w:iCs/>
        </w:rPr>
        <w:t xml:space="preserve"> from federal agencies</w:t>
      </w:r>
      <w:r w:rsidRPr="007F4366">
        <w:rPr>
          <w:rFonts w:ascii="Arial" w:hAnsi="Arial"/>
        </w:rPr>
        <w:t xml:space="preserve"> (not indirectly from another state or local</w:t>
      </w:r>
      <w:r>
        <w:rPr>
          <w:rFonts w:ascii="Arial" w:hAnsi="Arial"/>
        </w:rPr>
        <w:t xml:space="preserve"> </w:t>
      </w:r>
      <w:r w:rsidRPr="007F4366">
        <w:rPr>
          <w:rFonts w:ascii="Arial" w:hAnsi="Arial"/>
        </w:rPr>
        <w:t xml:space="preserve">agency) </w:t>
      </w:r>
      <w:r w:rsidRPr="00E0100B">
        <w:rPr>
          <w:rFonts w:ascii="Arial" w:hAnsi="Arial"/>
          <w:b/>
          <w:bCs/>
          <w:i/>
          <w:iCs/>
        </w:rPr>
        <w:t xml:space="preserve">is required to complete </w:t>
      </w:r>
      <w:r>
        <w:rPr>
          <w:rFonts w:ascii="Arial" w:hAnsi="Arial"/>
          <w:b/>
          <w:bCs/>
          <w:i/>
          <w:iCs/>
        </w:rPr>
        <w:t xml:space="preserve">section B of </w:t>
      </w:r>
      <w:r w:rsidRPr="00E0100B">
        <w:rPr>
          <w:rFonts w:ascii="Arial" w:hAnsi="Arial"/>
          <w:b/>
          <w:bCs/>
          <w:i/>
          <w:iCs/>
        </w:rPr>
        <w:t>this worksheet.</w:t>
      </w:r>
      <w:r w:rsidRPr="007F4366">
        <w:rPr>
          <w:rFonts w:ascii="Arial" w:hAnsi="Arial"/>
        </w:rPr>
        <w:t xml:space="preserve"> If</w:t>
      </w:r>
      <w:r>
        <w:rPr>
          <w:rFonts w:ascii="Arial" w:hAnsi="Arial"/>
        </w:rPr>
        <w:t xml:space="preserve"> there is not sufficient</w:t>
      </w:r>
      <w:r w:rsidRPr="007F4366">
        <w:rPr>
          <w:rFonts w:ascii="Arial" w:hAnsi="Arial"/>
        </w:rPr>
        <w:t xml:space="preserve"> space </w:t>
      </w:r>
      <w:r>
        <w:rPr>
          <w:rFonts w:ascii="Arial" w:hAnsi="Arial"/>
        </w:rPr>
        <w:t xml:space="preserve">to provide this information on the 375-B Worksheet, </w:t>
      </w:r>
      <w:r w:rsidRPr="007F4366">
        <w:rPr>
          <w:rFonts w:ascii="Arial" w:hAnsi="Arial"/>
        </w:rPr>
        <w:t xml:space="preserve">an additional tab can be added to this workbook </w:t>
      </w:r>
      <w:r>
        <w:rPr>
          <w:rFonts w:ascii="Arial" w:hAnsi="Arial"/>
        </w:rPr>
        <w:t xml:space="preserve">using the instructions on the “Instruct” tab in the </w:t>
      </w:r>
      <w:r w:rsidR="007A6609">
        <w:rPr>
          <w:rFonts w:ascii="Arial" w:hAnsi="Arial"/>
        </w:rPr>
        <w:t>ACFR</w:t>
      </w:r>
      <w:r>
        <w:rPr>
          <w:rFonts w:ascii="Arial" w:hAnsi="Arial"/>
        </w:rPr>
        <w:t xml:space="preserve"> package </w:t>
      </w:r>
      <w:r w:rsidRPr="007F4366">
        <w:rPr>
          <w:rFonts w:ascii="Arial" w:hAnsi="Arial"/>
        </w:rPr>
        <w:t>or you can submit a</w:t>
      </w:r>
      <w:r>
        <w:rPr>
          <w:rFonts w:ascii="Arial" w:hAnsi="Arial"/>
        </w:rPr>
        <w:t xml:space="preserve"> </w:t>
      </w:r>
      <w:r w:rsidRPr="007F4366">
        <w:rPr>
          <w:rFonts w:ascii="Arial" w:hAnsi="Arial"/>
        </w:rPr>
        <w:t xml:space="preserve">separate spreadsheet with the </w:t>
      </w:r>
      <w:r w:rsidR="007A6609">
        <w:rPr>
          <w:rFonts w:ascii="Arial" w:hAnsi="Arial"/>
        </w:rPr>
        <w:t>ACFR</w:t>
      </w:r>
      <w:r w:rsidRPr="007F4366">
        <w:rPr>
          <w:rFonts w:ascii="Arial" w:hAnsi="Arial"/>
        </w:rPr>
        <w:t xml:space="preserve"> package. If</w:t>
      </w:r>
      <w:r>
        <w:rPr>
          <w:rFonts w:ascii="Arial" w:hAnsi="Arial"/>
        </w:rPr>
        <w:t xml:space="preserve"> </w:t>
      </w:r>
      <w:r w:rsidRPr="007F4366">
        <w:rPr>
          <w:rFonts w:ascii="Arial" w:hAnsi="Arial"/>
        </w:rPr>
        <w:t>information is provided</w:t>
      </w:r>
      <w:r>
        <w:rPr>
          <w:rFonts w:ascii="Arial" w:hAnsi="Arial"/>
        </w:rPr>
        <w:t xml:space="preserve"> on a separate worksheet or in another spreadsheet</w:t>
      </w:r>
      <w:r w:rsidRPr="007F4366">
        <w:rPr>
          <w:rFonts w:ascii="Arial" w:hAnsi="Arial"/>
        </w:rPr>
        <w:t>, add a reference in the appropriate section</w:t>
      </w:r>
      <w:r>
        <w:rPr>
          <w:rFonts w:ascii="Arial" w:hAnsi="Arial"/>
        </w:rPr>
        <w:t xml:space="preserve"> of the 375-B Worksheet so OSC will know where to find the information. Ensure all required information is submitted. </w:t>
      </w:r>
    </w:p>
    <w:p w14:paraId="7A9429E0" w14:textId="77777777" w:rsidR="001E5485" w:rsidRDefault="001E5485" w:rsidP="001E5485">
      <w:pPr>
        <w:rPr>
          <w:rFonts w:ascii="Arial" w:hAnsi="Arial" w:cs="Arial"/>
        </w:rPr>
      </w:pPr>
    </w:p>
    <w:p w14:paraId="21177575" w14:textId="3B7D2926" w:rsidR="001E5485" w:rsidRDefault="001E5485" w:rsidP="001E5485">
      <w:pPr>
        <w:rPr>
          <w:rFonts w:ascii="Arial" w:hAnsi="Arial" w:cs="Arial"/>
        </w:rPr>
      </w:pPr>
      <w:r>
        <w:rPr>
          <w:rFonts w:ascii="Arial" w:hAnsi="Arial" w:cs="Arial"/>
        </w:rPr>
        <w:t xml:space="preserve">Account Number:  The account number will be the federal revenue account </w:t>
      </w:r>
      <w:r w:rsidR="00C31664">
        <w:rPr>
          <w:rFonts w:ascii="Arial" w:hAnsi="Arial" w:cs="Arial"/>
        </w:rPr>
        <w:t>(4</w:t>
      </w:r>
      <w:r w:rsidR="00CB2994">
        <w:rPr>
          <w:rFonts w:ascii="Arial" w:hAnsi="Arial" w:cs="Arial"/>
        </w:rPr>
        <w:t>2</w:t>
      </w:r>
      <w:r w:rsidR="006B4180">
        <w:rPr>
          <w:rFonts w:ascii="Arial" w:hAnsi="Arial" w:cs="Arial"/>
        </w:rPr>
        <w:t>1XX</w:t>
      </w:r>
      <w:r w:rsidR="00C31664">
        <w:rPr>
          <w:rFonts w:ascii="Arial" w:hAnsi="Arial" w:cs="Arial"/>
        </w:rPr>
        <w:t>XXX</w:t>
      </w:r>
      <w:r w:rsidR="006B4180">
        <w:rPr>
          <w:rFonts w:ascii="Arial" w:hAnsi="Arial" w:cs="Arial"/>
        </w:rPr>
        <w:t>, 42DXXXXX</w:t>
      </w:r>
      <w:r w:rsidR="00CB2994">
        <w:rPr>
          <w:rFonts w:ascii="Arial" w:hAnsi="Arial" w:cs="Arial"/>
        </w:rPr>
        <w:t>, 427XXXXX</w:t>
      </w:r>
      <w:r w:rsidR="00C31664">
        <w:rPr>
          <w:rFonts w:ascii="Arial" w:hAnsi="Arial" w:cs="Arial"/>
        </w:rPr>
        <w:t xml:space="preserve"> or 588</w:t>
      </w:r>
      <w:r w:rsidR="006B4180">
        <w:rPr>
          <w:rFonts w:ascii="Arial" w:hAnsi="Arial" w:cs="Arial"/>
        </w:rPr>
        <w:t>XXX</w:t>
      </w:r>
      <w:r w:rsidR="00C31664">
        <w:rPr>
          <w:rFonts w:ascii="Arial" w:hAnsi="Arial" w:cs="Arial"/>
        </w:rPr>
        <w:t xml:space="preserve">XX) </w:t>
      </w:r>
      <w:r>
        <w:rPr>
          <w:rFonts w:ascii="Arial" w:hAnsi="Arial" w:cs="Arial"/>
        </w:rPr>
        <w:t xml:space="preserve">that was budgeted </w:t>
      </w:r>
      <w:r w:rsidR="00C31664">
        <w:rPr>
          <w:rFonts w:ascii="Arial" w:hAnsi="Arial" w:cs="Arial"/>
        </w:rPr>
        <w:t xml:space="preserve">for the COVID-19 </w:t>
      </w:r>
      <w:r>
        <w:rPr>
          <w:rFonts w:ascii="Arial" w:hAnsi="Arial" w:cs="Arial"/>
        </w:rPr>
        <w:t xml:space="preserve">federal revenues </w:t>
      </w:r>
      <w:r w:rsidR="00C31664">
        <w:rPr>
          <w:rFonts w:ascii="Arial" w:hAnsi="Arial" w:cs="Arial"/>
        </w:rPr>
        <w:t>rece</w:t>
      </w:r>
      <w:r>
        <w:rPr>
          <w:rFonts w:ascii="Arial" w:hAnsi="Arial" w:cs="Arial"/>
        </w:rPr>
        <w:t>ived directly from the federal agencies.</w:t>
      </w:r>
      <w:r w:rsidR="00C31664">
        <w:rPr>
          <w:rFonts w:ascii="Arial" w:hAnsi="Arial" w:cs="Arial"/>
        </w:rPr>
        <w:t xml:space="preserve"> Most of the time this will be the 588</w:t>
      </w:r>
      <w:r w:rsidR="00CB2994">
        <w:rPr>
          <w:rFonts w:ascii="Arial" w:hAnsi="Arial" w:cs="Arial"/>
        </w:rPr>
        <w:t>XXX</w:t>
      </w:r>
      <w:r w:rsidR="00C31664">
        <w:rPr>
          <w:rFonts w:ascii="Arial" w:hAnsi="Arial" w:cs="Arial"/>
        </w:rPr>
        <w:t xml:space="preserve">XX account in the operating budget code. </w:t>
      </w:r>
    </w:p>
    <w:p w14:paraId="1C01BF61" w14:textId="77777777" w:rsidR="001E5485" w:rsidRDefault="001E5485" w:rsidP="001E5485">
      <w:pPr>
        <w:rPr>
          <w:rFonts w:ascii="Arial" w:hAnsi="Arial" w:cs="Arial"/>
        </w:rPr>
      </w:pPr>
    </w:p>
    <w:p w14:paraId="0A17B6B8" w14:textId="5F66FFF5" w:rsidR="001E5485" w:rsidRDefault="001E5485" w:rsidP="001E5485">
      <w:pPr>
        <w:rPr>
          <w:rFonts w:ascii="Arial" w:hAnsi="Arial" w:cs="Arial"/>
        </w:rPr>
      </w:pPr>
      <w:r>
        <w:rPr>
          <w:rFonts w:ascii="Arial" w:hAnsi="Arial" w:cs="Arial"/>
        </w:rPr>
        <w:t>Budget Code</w:t>
      </w:r>
      <w:proofErr w:type="gramStart"/>
      <w:r>
        <w:rPr>
          <w:rFonts w:ascii="Arial" w:hAnsi="Arial" w:cs="Arial"/>
        </w:rPr>
        <w:t>:  We</w:t>
      </w:r>
      <w:proofErr w:type="gramEnd"/>
      <w:r>
        <w:rPr>
          <w:rFonts w:ascii="Arial" w:hAnsi="Arial" w:cs="Arial"/>
        </w:rPr>
        <w:t xml:space="preserve"> anticipate that these revenues will be reported in </w:t>
      </w:r>
      <w:r w:rsidR="00C31664">
        <w:rPr>
          <w:rFonts w:ascii="Arial" w:hAnsi="Arial" w:cs="Arial"/>
        </w:rPr>
        <w:t>the operating</w:t>
      </w:r>
      <w:r>
        <w:rPr>
          <w:rFonts w:ascii="Arial" w:hAnsi="Arial" w:cs="Arial"/>
        </w:rPr>
        <w:t xml:space="preserve"> budget code. </w:t>
      </w:r>
    </w:p>
    <w:p w14:paraId="4AC97973" w14:textId="77777777" w:rsidR="001E5485" w:rsidRDefault="001E5485" w:rsidP="001E5485">
      <w:pPr>
        <w:rPr>
          <w:rFonts w:ascii="Arial" w:hAnsi="Arial" w:cs="Arial"/>
        </w:rPr>
      </w:pPr>
    </w:p>
    <w:p w14:paraId="2E450AFE" w14:textId="04537CC9" w:rsidR="001E5485" w:rsidRDefault="00CB2994" w:rsidP="001E5485">
      <w:pPr>
        <w:rPr>
          <w:rFonts w:ascii="Arial" w:hAnsi="Arial" w:cs="Arial"/>
        </w:rPr>
      </w:pPr>
      <w:r>
        <w:rPr>
          <w:rFonts w:ascii="Arial" w:hAnsi="Arial" w:cs="Arial"/>
        </w:rPr>
        <w:t>Budget Fund</w:t>
      </w:r>
      <w:proofErr w:type="gramStart"/>
      <w:r w:rsidR="001E5485">
        <w:rPr>
          <w:rFonts w:ascii="Arial" w:hAnsi="Arial" w:cs="Arial"/>
        </w:rPr>
        <w:t>:  Provide</w:t>
      </w:r>
      <w:proofErr w:type="gramEnd"/>
      <w:r w:rsidR="001E5485">
        <w:rPr>
          <w:rFonts w:ascii="Arial" w:hAnsi="Arial" w:cs="Arial"/>
        </w:rPr>
        <w:t xml:space="preserve"> the </w:t>
      </w:r>
      <w:r w:rsidR="001E5485" w:rsidRPr="00975B6B">
        <w:rPr>
          <w:rFonts w:ascii="Arial" w:hAnsi="Arial" w:cs="Arial"/>
        </w:rPr>
        <w:t>full</w:t>
      </w:r>
      <w:r w:rsidR="001E5485">
        <w:rPr>
          <w:rFonts w:ascii="Arial" w:hAnsi="Arial" w:cs="Arial"/>
        </w:rPr>
        <w:t xml:space="preserve"> </w:t>
      </w:r>
      <w:r>
        <w:rPr>
          <w:rFonts w:ascii="Arial" w:hAnsi="Arial" w:cs="Arial"/>
        </w:rPr>
        <w:t>budget fund</w:t>
      </w:r>
      <w:r w:rsidR="001E5485">
        <w:rPr>
          <w:rFonts w:ascii="Arial" w:hAnsi="Arial" w:cs="Arial"/>
        </w:rPr>
        <w:t xml:space="preserve">. </w:t>
      </w:r>
    </w:p>
    <w:p w14:paraId="29C3806D" w14:textId="77777777" w:rsidR="001E5485" w:rsidRDefault="001E5485" w:rsidP="001E5485">
      <w:pPr>
        <w:rPr>
          <w:rFonts w:ascii="Arial" w:hAnsi="Arial" w:cs="Arial"/>
        </w:rPr>
      </w:pPr>
    </w:p>
    <w:p w14:paraId="4C229A62" w14:textId="5DA9E8A2" w:rsidR="001E5485" w:rsidRDefault="00C31664" w:rsidP="001E5485">
      <w:pPr>
        <w:rPr>
          <w:rFonts w:ascii="Arial" w:hAnsi="Arial" w:cs="Arial"/>
        </w:rPr>
      </w:pPr>
      <w:r>
        <w:rPr>
          <w:rFonts w:ascii="Arial" w:hAnsi="Arial" w:cs="Arial"/>
        </w:rPr>
        <w:t>Certified Budgeted Amount</w:t>
      </w:r>
      <w:proofErr w:type="gramStart"/>
      <w:r w:rsidR="001E5485">
        <w:rPr>
          <w:rFonts w:ascii="Arial" w:hAnsi="Arial" w:cs="Arial"/>
        </w:rPr>
        <w:t>:  Provide</w:t>
      </w:r>
      <w:proofErr w:type="gramEnd"/>
      <w:r w:rsidR="001E5485">
        <w:rPr>
          <w:rFonts w:ascii="Arial" w:hAnsi="Arial" w:cs="Arial"/>
        </w:rPr>
        <w:t xml:space="preserve"> the </w:t>
      </w:r>
      <w:r>
        <w:rPr>
          <w:rFonts w:ascii="Arial" w:hAnsi="Arial" w:cs="Arial"/>
        </w:rPr>
        <w:t xml:space="preserve">certified budgeted amount in the original budget approved by the Governor and General Assembly. </w:t>
      </w:r>
      <w:r w:rsidR="001E5485">
        <w:rPr>
          <w:rFonts w:ascii="Arial" w:hAnsi="Arial" w:cs="Arial"/>
        </w:rPr>
        <w:t xml:space="preserve">This </w:t>
      </w:r>
      <w:r>
        <w:rPr>
          <w:rFonts w:ascii="Arial" w:hAnsi="Arial" w:cs="Arial"/>
        </w:rPr>
        <w:t xml:space="preserve">amount </w:t>
      </w:r>
      <w:r w:rsidR="001E5485">
        <w:rPr>
          <w:rFonts w:ascii="Arial" w:hAnsi="Arial" w:cs="Arial"/>
        </w:rPr>
        <w:t xml:space="preserve">will be presented </w:t>
      </w:r>
      <w:r>
        <w:rPr>
          <w:rFonts w:ascii="Arial" w:hAnsi="Arial" w:cs="Arial"/>
        </w:rPr>
        <w:t xml:space="preserve">as the original budget amount of </w:t>
      </w:r>
      <w:r w:rsidR="001E5485">
        <w:rPr>
          <w:rFonts w:ascii="Arial" w:hAnsi="Arial" w:cs="Arial"/>
        </w:rPr>
        <w:t xml:space="preserve">Federal COVID-19 revenues in the budget to actual financial statements presented in the State </w:t>
      </w:r>
      <w:r w:rsidR="007A6609">
        <w:rPr>
          <w:rFonts w:ascii="Arial" w:hAnsi="Arial" w:cs="Arial"/>
        </w:rPr>
        <w:t>ACFR</w:t>
      </w:r>
      <w:r w:rsidR="001E5485">
        <w:rPr>
          <w:rFonts w:ascii="Arial" w:hAnsi="Arial" w:cs="Arial"/>
        </w:rPr>
        <w:t xml:space="preserve">. </w:t>
      </w:r>
    </w:p>
    <w:p w14:paraId="668971B3" w14:textId="77777777" w:rsidR="001E5485" w:rsidRDefault="001E5485" w:rsidP="001E5485">
      <w:pPr>
        <w:rPr>
          <w:rFonts w:ascii="Arial" w:hAnsi="Arial" w:cs="Arial"/>
        </w:rPr>
      </w:pPr>
    </w:p>
    <w:p w14:paraId="26761FD0" w14:textId="079A5BAE" w:rsidR="001E5485" w:rsidRDefault="00C31664" w:rsidP="001E5485">
      <w:pPr>
        <w:rPr>
          <w:rFonts w:ascii="Arial" w:hAnsi="Arial" w:cs="Arial"/>
        </w:rPr>
      </w:pPr>
      <w:r>
        <w:rPr>
          <w:rFonts w:ascii="Arial" w:hAnsi="Arial" w:cs="Arial"/>
        </w:rPr>
        <w:t>Authorized Budgeted Amount</w:t>
      </w:r>
      <w:proofErr w:type="gramStart"/>
      <w:r>
        <w:rPr>
          <w:rFonts w:ascii="Arial" w:hAnsi="Arial" w:cs="Arial"/>
        </w:rPr>
        <w:t>:  Provide</w:t>
      </w:r>
      <w:proofErr w:type="gramEnd"/>
      <w:r>
        <w:rPr>
          <w:rFonts w:ascii="Arial" w:hAnsi="Arial" w:cs="Arial"/>
        </w:rPr>
        <w:t xml:space="preserve"> the authorized budgeted amount in the final budget approved by OSBM. This amount will be presented as the final budget amount of Federal COVID-19 revenues in the budget to actual financial statements presented in the State </w:t>
      </w:r>
      <w:r w:rsidR="007A6609">
        <w:rPr>
          <w:rFonts w:ascii="Arial" w:hAnsi="Arial" w:cs="Arial"/>
        </w:rPr>
        <w:t>ACFR</w:t>
      </w:r>
      <w:r>
        <w:rPr>
          <w:rFonts w:ascii="Arial" w:hAnsi="Arial" w:cs="Arial"/>
        </w:rPr>
        <w:t>.</w:t>
      </w:r>
    </w:p>
    <w:p w14:paraId="111E7125" w14:textId="77777777" w:rsidR="00C31664" w:rsidRDefault="00C31664" w:rsidP="001E5485">
      <w:pPr>
        <w:rPr>
          <w:rFonts w:ascii="Arial" w:hAnsi="Arial" w:cs="Arial"/>
        </w:rPr>
      </w:pPr>
    </w:p>
    <w:p w14:paraId="1CAF3273" w14:textId="0442C492" w:rsidR="001E5485" w:rsidRPr="007F4366" w:rsidRDefault="001E5485" w:rsidP="001E5485">
      <w:pPr>
        <w:rPr>
          <w:rFonts w:ascii="Arial" w:hAnsi="Arial"/>
        </w:rPr>
      </w:pPr>
      <w:r>
        <w:rPr>
          <w:rFonts w:ascii="Arial" w:hAnsi="Arial" w:cs="Arial"/>
        </w:rPr>
        <w:t xml:space="preserve">Section B, item </w:t>
      </w:r>
      <w:proofErr w:type="gramStart"/>
      <w:r>
        <w:rPr>
          <w:rFonts w:ascii="Arial" w:hAnsi="Arial" w:cs="Arial"/>
        </w:rPr>
        <w:t>1 is</w:t>
      </w:r>
      <w:proofErr w:type="gramEnd"/>
      <w:r>
        <w:rPr>
          <w:rFonts w:ascii="Arial" w:hAnsi="Arial" w:cs="Arial"/>
        </w:rPr>
        <w:t xml:space="preserve"> to be completed by OS</w:t>
      </w:r>
      <w:r w:rsidR="00BF7A8D">
        <w:rPr>
          <w:rFonts w:ascii="Arial" w:hAnsi="Arial" w:cs="Arial"/>
        </w:rPr>
        <w:t>BM</w:t>
      </w:r>
      <w:r>
        <w:rPr>
          <w:rFonts w:ascii="Arial" w:hAnsi="Arial" w:cs="Arial"/>
        </w:rPr>
        <w:t xml:space="preserve"> only.</w:t>
      </w:r>
    </w:p>
    <w:p w14:paraId="35DEA5C9" w14:textId="77777777" w:rsidR="00EF2FDE" w:rsidRDefault="00EF2FDE" w:rsidP="00376A5E">
      <w:pPr>
        <w:pStyle w:val="Heading3"/>
        <w:spacing w:line="240" w:lineRule="auto"/>
        <w:jc w:val="left"/>
        <w:rPr>
          <w:rFonts w:ascii="Arial" w:hAnsi="Arial"/>
          <w:u w:val="single"/>
        </w:rPr>
      </w:pPr>
      <w:bookmarkStart w:id="0" w:name="DDE_LINK1"/>
    </w:p>
    <w:p w14:paraId="398AE7FC" w14:textId="77777777" w:rsidR="00376A5E" w:rsidRDefault="00376A5E" w:rsidP="00376A5E">
      <w:pPr>
        <w:pStyle w:val="Heading3"/>
        <w:spacing w:line="240" w:lineRule="auto"/>
        <w:jc w:val="left"/>
        <w:rPr>
          <w:b w:val="0"/>
          <w:smallCaps w:val="0"/>
          <w:u w:val="single"/>
        </w:rPr>
      </w:pPr>
      <w:r>
        <w:rPr>
          <w:rFonts w:ascii="Arial" w:hAnsi="Arial"/>
          <w:u w:val="single"/>
        </w:rPr>
        <w:t>Fund Balance Classifications worksheets (</w:t>
      </w:r>
      <w:r>
        <w:rPr>
          <w:rFonts w:ascii="Arial" w:hAnsi="Arial"/>
          <w:smallCaps w:val="0"/>
          <w:u w:val="single"/>
        </w:rPr>
        <w:t>401-415</w:t>
      </w:r>
      <w:r>
        <w:rPr>
          <w:rFonts w:ascii="Arial" w:hAnsi="Arial"/>
          <w:u w:val="single"/>
        </w:rPr>
        <w:t>)</w:t>
      </w:r>
    </w:p>
    <w:p w14:paraId="20F291D4" w14:textId="77777777" w:rsidR="00376A5E" w:rsidRDefault="00376A5E" w:rsidP="00376A5E">
      <w:pPr>
        <w:pStyle w:val="Header"/>
        <w:rPr>
          <w:rFonts w:ascii="Arial" w:hAnsi="Arial"/>
          <w:u w:val="single"/>
        </w:rPr>
      </w:pPr>
    </w:p>
    <w:p w14:paraId="14D13F58" w14:textId="21FED3D4" w:rsidR="00376A5E" w:rsidRDefault="000501E3" w:rsidP="00376A5E">
      <w:pPr>
        <w:jc w:val="both"/>
        <w:rPr>
          <w:rFonts w:ascii="Arial" w:hAnsi="Arial"/>
        </w:rPr>
      </w:pPr>
      <w:r>
        <w:rPr>
          <w:rFonts w:ascii="Arial" w:hAnsi="Arial"/>
        </w:rPr>
        <w:t>T</w:t>
      </w:r>
      <w:r w:rsidR="00E32F47">
        <w:rPr>
          <w:rFonts w:ascii="Arial" w:hAnsi="Arial"/>
        </w:rPr>
        <w:t xml:space="preserve">hese worksheets represent the disclosure of the individual fund balance components (i.e., </w:t>
      </w:r>
      <w:proofErr w:type="spellStart"/>
      <w:r w:rsidR="00E32F47">
        <w:rPr>
          <w:rFonts w:ascii="Arial" w:hAnsi="Arial"/>
        </w:rPr>
        <w:t>nonspendable</w:t>
      </w:r>
      <w:proofErr w:type="spellEnd"/>
      <w:r w:rsidR="00E32F47">
        <w:rPr>
          <w:rFonts w:ascii="Arial" w:hAnsi="Arial"/>
        </w:rPr>
        <w:t>, restricted, committed, assigned, and unassigned)</w:t>
      </w:r>
      <w:r>
        <w:rPr>
          <w:rFonts w:ascii="Arial" w:hAnsi="Arial"/>
        </w:rPr>
        <w:t xml:space="preserve"> and</w:t>
      </w:r>
      <w:r w:rsidR="00E32F47">
        <w:rPr>
          <w:rFonts w:ascii="Arial" w:hAnsi="Arial"/>
        </w:rPr>
        <w:t xml:space="preserve"> are considered an integral part of the</w:t>
      </w:r>
      <w:r w:rsidR="000D4806">
        <w:rPr>
          <w:rFonts w:ascii="Arial" w:hAnsi="Arial"/>
        </w:rPr>
        <w:t xml:space="preserve"> </w:t>
      </w:r>
      <w:r w:rsidR="00394717">
        <w:rPr>
          <w:rFonts w:ascii="Arial" w:hAnsi="Arial"/>
        </w:rPr>
        <w:t xml:space="preserve">NCFS ACFR </w:t>
      </w:r>
      <w:r w:rsidR="00E32F47">
        <w:rPr>
          <w:rFonts w:ascii="Arial" w:hAnsi="Arial"/>
        </w:rPr>
        <w:t>11G balance sheet</w:t>
      </w:r>
      <w:r>
        <w:rPr>
          <w:rFonts w:ascii="Arial" w:hAnsi="Arial"/>
        </w:rPr>
        <w:t xml:space="preserve"> since the </w:t>
      </w:r>
      <w:r w:rsidR="00394717">
        <w:rPr>
          <w:rFonts w:ascii="Arial" w:hAnsi="Arial"/>
        </w:rPr>
        <w:t xml:space="preserve">NCFS ACFR </w:t>
      </w:r>
      <w:r w:rsidR="00376A5E">
        <w:rPr>
          <w:rFonts w:ascii="Arial" w:hAnsi="Arial"/>
        </w:rPr>
        <w:t xml:space="preserve">11G </w:t>
      </w:r>
      <w:r w:rsidR="008F4212">
        <w:rPr>
          <w:rFonts w:ascii="Arial" w:hAnsi="Arial"/>
        </w:rPr>
        <w:t>report</w:t>
      </w:r>
      <w:r w:rsidR="00510C09">
        <w:rPr>
          <w:rFonts w:ascii="Arial" w:hAnsi="Arial"/>
        </w:rPr>
        <w:t>s</w:t>
      </w:r>
      <w:r w:rsidR="008F4212">
        <w:rPr>
          <w:rFonts w:ascii="Arial" w:hAnsi="Arial"/>
        </w:rPr>
        <w:t xml:space="preserve"> the</w:t>
      </w:r>
      <w:r w:rsidR="00376A5E">
        <w:rPr>
          <w:rFonts w:ascii="Arial" w:hAnsi="Arial"/>
        </w:rPr>
        <w:t xml:space="preserve"> fund balance in total, with no breakdown of the individual fund balance components. </w:t>
      </w:r>
      <w:r>
        <w:rPr>
          <w:rFonts w:ascii="Arial" w:hAnsi="Arial"/>
        </w:rPr>
        <w:t xml:space="preserve"> </w:t>
      </w:r>
      <w:r w:rsidR="00376A5E">
        <w:rPr>
          <w:rFonts w:ascii="Arial" w:hAnsi="Arial"/>
        </w:rPr>
        <w:t>The</w:t>
      </w:r>
      <w:r>
        <w:rPr>
          <w:rFonts w:ascii="Arial" w:hAnsi="Arial"/>
        </w:rPr>
        <w:t xml:space="preserve"> first table on these</w:t>
      </w:r>
      <w:r w:rsidR="00376A5E">
        <w:rPr>
          <w:rFonts w:ascii="Arial" w:hAnsi="Arial"/>
        </w:rPr>
        <w:t xml:space="preserve"> worksheets are the source</w:t>
      </w:r>
      <w:r>
        <w:rPr>
          <w:rFonts w:ascii="Arial" w:hAnsi="Arial"/>
        </w:rPr>
        <w:t>s</w:t>
      </w:r>
      <w:r w:rsidR="00376A5E">
        <w:rPr>
          <w:rFonts w:ascii="Arial" w:hAnsi="Arial"/>
        </w:rPr>
        <w:t xml:space="preserve"> used to disclose the individual fund balance components for the Notes to the Financial Statements in the </w:t>
      </w:r>
      <w:r w:rsidR="00AC4216">
        <w:rPr>
          <w:rFonts w:ascii="Arial" w:hAnsi="Arial"/>
        </w:rPr>
        <w:t>ACFR</w:t>
      </w:r>
      <w:r w:rsidR="00376A5E">
        <w:rPr>
          <w:rFonts w:ascii="Arial" w:hAnsi="Arial"/>
        </w:rPr>
        <w:t xml:space="preserve">. </w:t>
      </w:r>
      <w:r>
        <w:rPr>
          <w:rFonts w:ascii="Arial" w:hAnsi="Arial"/>
        </w:rPr>
        <w:t xml:space="preserve"> </w:t>
      </w:r>
      <w:r w:rsidR="00376A5E" w:rsidRPr="00C147C2">
        <w:rPr>
          <w:rFonts w:ascii="Arial" w:hAnsi="Arial"/>
        </w:rPr>
        <w:t>For government</w:t>
      </w:r>
      <w:r>
        <w:rPr>
          <w:rFonts w:ascii="Arial" w:hAnsi="Arial"/>
        </w:rPr>
        <w:t>-</w:t>
      </w:r>
      <w:r w:rsidR="00376A5E" w:rsidRPr="00C147C2">
        <w:rPr>
          <w:rFonts w:ascii="Arial" w:hAnsi="Arial"/>
        </w:rPr>
        <w:t xml:space="preserve">wide reporting, the General Fund, Special Revenue Funds, Capital Projects Funds, and Permanent Funds must also segregate the total </w:t>
      </w:r>
      <w:r>
        <w:rPr>
          <w:rFonts w:ascii="Arial" w:hAnsi="Arial"/>
        </w:rPr>
        <w:t>net position</w:t>
      </w:r>
      <w:r w:rsidR="00376A5E" w:rsidRPr="00C147C2">
        <w:rPr>
          <w:rFonts w:ascii="Arial" w:hAnsi="Arial"/>
        </w:rPr>
        <w:t xml:space="preserve"> by restricted and unrestricted amounts. </w:t>
      </w:r>
      <w:r>
        <w:rPr>
          <w:rFonts w:ascii="Arial" w:hAnsi="Arial"/>
        </w:rPr>
        <w:t xml:space="preserve"> </w:t>
      </w:r>
      <w:r w:rsidR="00376A5E" w:rsidRPr="00C147C2">
        <w:rPr>
          <w:rFonts w:ascii="Arial" w:hAnsi="Arial"/>
        </w:rPr>
        <w:t>The</w:t>
      </w:r>
      <w:r>
        <w:rPr>
          <w:rFonts w:ascii="Arial" w:hAnsi="Arial"/>
        </w:rPr>
        <w:t xml:space="preserve"> second table on these </w:t>
      </w:r>
      <w:r w:rsidR="00376A5E" w:rsidRPr="00C147C2">
        <w:rPr>
          <w:rFonts w:ascii="Arial" w:hAnsi="Arial"/>
        </w:rPr>
        <w:t xml:space="preserve">worksheets are the </w:t>
      </w:r>
      <w:r>
        <w:rPr>
          <w:rFonts w:ascii="Arial" w:hAnsi="Arial"/>
        </w:rPr>
        <w:t>sources used</w:t>
      </w:r>
      <w:r w:rsidR="00376A5E" w:rsidRPr="00C147C2">
        <w:rPr>
          <w:rFonts w:ascii="Arial" w:hAnsi="Arial"/>
        </w:rPr>
        <w:t xml:space="preserve"> to disclose the detail restricted and unrestricted information.</w:t>
      </w:r>
      <w:r w:rsidR="009B1569" w:rsidRPr="00C147C2">
        <w:rPr>
          <w:rFonts w:ascii="Arial" w:hAnsi="Arial"/>
        </w:rPr>
        <w:t xml:space="preserve"> </w:t>
      </w:r>
      <w:r>
        <w:rPr>
          <w:rFonts w:ascii="Arial" w:hAnsi="Arial"/>
        </w:rPr>
        <w:t xml:space="preserve"> </w:t>
      </w:r>
    </w:p>
    <w:p w14:paraId="3A77D7D4" w14:textId="77777777" w:rsidR="00376A5E" w:rsidRDefault="00376A5E" w:rsidP="00376A5E">
      <w:pPr>
        <w:jc w:val="both"/>
        <w:rPr>
          <w:rFonts w:ascii="Arial" w:hAnsi="Arial"/>
        </w:rPr>
      </w:pPr>
      <w:r>
        <w:rPr>
          <w:rFonts w:ascii="Arial" w:hAnsi="Arial"/>
        </w:rPr>
        <w:t xml:space="preserve">  </w:t>
      </w:r>
    </w:p>
    <w:p w14:paraId="6A7EA856" w14:textId="3B23A05D" w:rsidR="001D31AA" w:rsidRDefault="00376A5E" w:rsidP="00376A5E">
      <w:pPr>
        <w:jc w:val="both"/>
        <w:rPr>
          <w:rFonts w:ascii="Arial" w:hAnsi="Arial"/>
        </w:rPr>
      </w:pPr>
      <w:hyperlink r:id="rId22" w:history="1">
        <w:r w:rsidRPr="00DD287D">
          <w:rPr>
            <w:rStyle w:val="Hyperlink"/>
            <w:rFonts w:ascii="Arial" w:hAnsi="Arial"/>
          </w:rPr>
          <w:t xml:space="preserve">The Fund Balance Reporting Policy </w:t>
        </w:r>
        <w:r w:rsidR="00A721D6" w:rsidRPr="00DD287D">
          <w:rPr>
            <w:rStyle w:val="Hyperlink"/>
            <w:rFonts w:ascii="Arial" w:hAnsi="Arial"/>
          </w:rPr>
          <w:t>(Statewide Accounting Policy 101.5)</w:t>
        </w:r>
      </w:hyperlink>
      <w:r>
        <w:rPr>
          <w:rFonts w:ascii="Arial" w:hAnsi="Arial"/>
        </w:rPr>
        <w:t xml:space="preserve"> should be used to determine the fund balance classifications on the worksheets.  Each worksheet includes a link to this policy</w:t>
      </w:r>
      <w:r w:rsidR="00A721D6">
        <w:rPr>
          <w:rFonts w:ascii="Arial" w:hAnsi="Arial"/>
        </w:rPr>
        <w:t>.</w:t>
      </w:r>
      <w:r w:rsidR="00123250">
        <w:rPr>
          <w:rFonts w:ascii="Arial" w:hAnsi="Arial"/>
        </w:rPr>
        <w:t xml:space="preserve"> </w:t>
      </w:r>
    </w:p>
    <w:p w14:paraId="7F0A195A" w14:textId="77777777" w:rsidR="00F003F8" w:rsidRDefault="00F003F8" w:rsidP="00376A5E">
      <w:pPr>
        <w:jc w:val="both"/>
        <w:rPr>
          <w:rFonts w:ascii="Arial" w:hAnsi="Arial"/>
        </w:rPr>
      </w:pPr>
    </w:p>
    <w:p w14:paraId="72ABDADE" w14:textId="097BA3F0" w:rsidR="00376A5E" w:rsidRDefault="00D55DDF" w:rsidP="00376A5E">
      <w:pPr>
        <w:jc w:val="both"/>
        <w:rPr>
          <w:rFonts w:ascii="Arial" w:hAnsi="Arial"/>
        </w:rPr>
      </w:pPr>
      <w:r w:rsidRPr="000501E3">
        <w:rPr>
          <w:rFonts w:ascii="Arial" w:hAnsi="Arial"/>
          <w:u w:val="single"/>
        </w:rPr>
        <w:t>Worksheet 401</w:t>
      </w:r>
      <w:r>
        <w:rPr>
          <w:rFonts w:ascii="Arial" w:hAnsi="Arial"/>
        </w:rPr>
        <w:t xml:space="preserve"> - </w:t>
      </w:r>
      <w:r w:rsidRPr="00C147C2">
        <w:rPr>
          <w:rFonts w:ascii="Arial" w:hAnsi="Arial"/>
        </w:rPr>
        <w:t>The worksheet 401 should be completed at the detail GASB for the General Fund.  Separate columns for GASB 1100</w:t>
      </w:r>
      <w:r w:rsidR="00DE0E74">
        <w:rPr>
          <w:rFonts w:ascii="Arial" w:hAnsi="Arial"/>
        </w:rPr>
        <w:t>0G</w:t>
      </w:r>
      <w:r w:rsidRPr="00C147C2">
        <w:rPr>
          <w:rFonts w:ascii="Arial" w:hAnsi="Arial"/>
        </w:rPr>
        <w:t>, GASB 1102</w:t>
      </w:r>
      <w:r w:rsidR="00DE0E74">
        <w:rPr>
          <w:rFonts w:ascii="Arial" w:hAnsi="Arial"/>
        </w:rPr>
        <w:t>0G</w:t>
      </w:r>
      <w:r w:rsidRPr="00C147C2">
        <w:rPr>
          <w:rFonts w:ascii="Arial" w:hAnsi="Arial"/>
        </w:rPr>
        <w:t>, etc.</w:t>
      </w:r>
    </w:p>
    <w:p w14:paraId="45F85D60" w14:textId="77777777" w:rsidR="00D55DDF" w:rsidRDefault="00D55DDF" w:rsidP="00376A5E">
      <w:pPr>
        <w:jc w:val="both"/>
        <w:rPr>
          <w:rFonts w:ascii="Arial" w:hAnsi="Arial"/>
        </w:rPr>
      </w:pPr>
    </w:p>
    <w:p w14:paraId="642306E9" w14:textId="190BA77C" w:rsidR="00376A5E" w:rsidRDefault="00376A5E" w:rsidP="00376A5E">
      <w:pPr>
        <w:jc w:val="both"/>
        <w:rPr>
          <w:rFonts w:ascii="Arial" w:hAnsi="Arial"/>
        </w:rPr>
      </w:pPr>
      <w:r>
        <w:rPr>
          <w:rFonts w:ascii="Arial" w:hAnsi="Arial"/>
        </w:rPr>
        <w:t xml:space="preserve">Fund balances that are restricted, committed, or assigned for a specific use should be identified to the appropriate </w:t>
      </w:r>
      <w:r w:rsidR="00D55DDF">
        <w:rPr>
          <w:rFonts w:ascii="Arial" w:hAnsi="Arial"/>
        </w:rPr>
        <w:t>function/purpose</w:t>
      </w:r>
      <w:r w:rsidRPr="00D4119B">
        <w:rPr>
          <w:rFonts w:ascii="Arial" w:hAnsi="Arial"/>
        </w:rPr>
        <w:t xml:space="preserve"> using the drop</w:t>
      </w:r>
      <w:r w:rsidR="00D55DDF">
        <w:rPr>
          <w:rFonts w:ascii="Arial" w:hAnsi="Arial"/>
        </w:rPr>
        <w:t>-</w:t>
      </w:r>
      <w:r w:rsidRPr="00D4119B">
        <w:rPr>
          <w:rFonts w:ascii="Arial" w:hAnsi="Arial"/>
        </w:rPr>
        <w:t xml:space="preserve">down boxes on the worksheets. </w:t>
      </w:r>
      <w:r w:rsidR="00D55DDF">
        <w:rPr>
          <w:rFonts w:ascii="Arial" w:hAnsi="Arial"/>
        </w:rPr>
        <w:t xml:space="preserve"> </w:t>
      </w:r>
      <w:r w:rsidR="00817484" w:rsidRPr="00D4119B">
        <w:rPr>
          <w:rFonts w:ascii="Arial" w:hAnsi="Arial"/>
        </w:rPr>
        <w:t xml:space="preserve">The </w:t>
      </w:r>
      <w:r w:rsidR="00D55DDF">
        <w:rPr>
          <w:rFonts w:ascii="Arial" w:hAnsi="Arial"/>
        </w:rPr>
        <w:t>‘F</w:t>
      </w:r>
      <w:r w:rsidR="00817484" w:rsidRPr="00D4119B">
        <w:rPr>
          <w:rFonts w:ascii="Arial" w:hAnsi="Arial"/>
        </w:rPr>
        <w:t>unctional</w:t>
      </w:r>
      <w:r w:rsidR="00D55DDF">
        <w:rPr>
          <w:rFonts w:ascii="Arial" w:hAnsi="Arial"/>
        </w:rPr>
        <w:t>’</w:t>
      </w:r>
      <w:r w:rsidR="00817484" w:rsidRPr="00D4119B">
        <w:rPr>
          <w:rFonts w:ascii="Arial" w:hAnsi="Arial"/>
        </w:rPr>
        <w:t xml:space="preserve"> </w:t>
      </w:r>
      <w:r w:rsidR="00D55DDF">
        <w:rPr>
          <w:rFonts w:ascii="Arial" w:hAnsi="Arial"/>
        </w:rPr>
        <w:t>tab</w:t>
      </w:r>
      <w:r w:rsidR="00817484" w:rsidRPr="00D4119B">
        <w:rPr>
          <w:rFonts w:ascii="Arial" w:hAnsi="Arial"/>
        </w:rPr>
        <w:t xml:space="preserve"> at the end of the </w:t>
      </w:r>
      <w:r w:rsidR="00847995">
        <w:rPr>
          <w:rFonts w:ascii="Arial" w:hAnsi="Arial"/>
        </w:rPr>
        <w:t>ACFR</w:t>
      </w:r>
      <w:r w:rsidR="00817484" w:rsidRPr="00D4119B">
        <w:rPr>
          <w:rFonts w:ascii="Arial" w:hAnsi="Arial"/>
        </w:rPr>
        <w:t xml:space="preserve"> package </w:t>
      </w:r>
      <w:r w:rsidR="00D55DDF">
        <w:rPr>
          <w:rFonts w:ascii="Arial" w:hAnsi="Arial"/>
        </w:rPr>
        <w:t xml:space="preserve">lists </w:t>
      </w:r>
      <w:r w:rsidR="00817484" w:rsidRPr="00D4119B">
        <w:rPr>
          <w:rFonts w:ascii="Arial" w:hAnsi="Arial"/>
        </w:rPr>
        <w:t>function</w:t>
      </w:r>
      <w:r w:rsidR="00D55DDF">
        <w:rPr>
          <w:rFonts w:ascii="Arial" w:hAnsi="Arial"/>
        </w:rPr>
        <w:t>s</w:t>
      </w:r>
      <w:r w:rsidR="00817484" w:rsidRPr="00D4119B">
        <w:rPr>
          <w:rFonts w:ascii="Arial" w:hAnsi="Arial"/>
        </w:rPr>
        <w:t xml:space="preserve"> by FRU and GASB can be used as a guide. </w:t>
      </w:r>
      <w:r w:rsidR="00D55DDF">
        <w:rPr>
          <w:rFonts w:ascii="Arial" w:hAnsi="Arial"/>
        </w:rPr>
        <w:t xml:space="preserve"> </w:t>
      </w:r>
      <w:r w:rsidR="00817484" w:rsidRPr="00D4119B">
        <w:rPr>
          <w:rFonts w:ascii="Arial" w:hAnsi="Arial"/>
        </w:rPr>
        <w:t>However, if there is a more specific purpose in the drop</w:t>
      </w:r>
      <w:r w:rsidR="00D55DDF">
        <w:rPr>
          <w:rFonts w:ascii="Arial" w:hAnsi="Arial"/>
        </w:rPr>
        <w:t>-</w:t>
      </w:r>
      <w:r w:rsidR="00817484" w:rsidRPr="00D4119B">
        <w:rPr>
          <w:rFonts w:ascii="Arial" w:hAnsi="Arial"/>
        </w:rPr>
        <w:t xml:space="preserve">down box that fits the fund balance classification, then select it.  For example: If the Department of Public Safety has unspent grant funds (no offsetting liability), the amount to be restricted, committed, and/or assigned would be shown under “Public </w:t>
      </w:r>
      <w:r w:rsidR="00D55DDF">
        <w:rPr>
          <w:rFonts w:ascii="Arial" w:hAnsi="Arial"/>
        </w:rPr>
        <w:t>safety, corrections, and regulation</w:t>
      </w:r>
      <w:r w:rsidR="00817484" w:rsidRPr="00D4119B">
        <w:rPr>
          <w:rFonts w:ascii="Arial" w:hAnsi="Arial"/>
        </w:rPr>
        <w:t xml:space="preserve">”. </w:t>
      </w:r>
      <w:r w:rsidR="00D55DDF">
        <w:rPr>
          <w:rFonts w:ascii="Arial" w:hAnsi="Arial"/>
        </w:rPr>
        <w:t xml:space="preserve"> </w:t>
      </w:r>
      <w:r w:rsidR="00817484" w:rsidRPr="00D4119B">
        <w:rPr>
          <w:rFonts w:ascii="Arial" w:hAnsi="Arial"/>
        </w:rPr>
        <w:t>If the Department of Public Safety has unspent funds for a capital project or repairs and renovations, then the amount to be restricted and/or committed would be shown under “Capital projects/repairs and</w:t>
      </w:r>
      <w:r w:rsidR="00EC5CC1">
        <w:rPr>
          <w:rFonts w:ascii="Arial" w:hAnsi="Arial"/>
        </w:rPr>
        <w:t xml:space="preserve"> renovations</w:t>
      </w:r>
      <w:r w:rsidR="00D55DDF">
        <w:rPr>
          <w:rFonts w:ascii="Arial" w:hAnsi="Arial"/>
        </w:rPr>
        <w:t>”</w:t>
      </w:r>
      <w:r w:rsidR="00EC5CC1">
        <w:rPr>
          <w:rFonts w:ascii="Arial" w:hAnsi="Arial"/>
        </w:rPr>
        <w:t xml:space="preserve">. </w:t>
      </w:r>
      <w:r w:rsidR="00817484" w:rsidRPr="00D4119B">
        <w:rPr>
          <w:rFonts w:ascii="Arial" w:hAnsi="Arial"/>
        </w:rPr>
        <w:t xml:space="preserve"> </w:t>
      </w:r>
      <w:r w:rsidR="00D55DDF">
        <w:rPr>
          <w:rFonts w:ascii="Arial" w:hAnsi="Arial"/>
        </w:rPr>
        <w:t xml:space="preserve">Contact </w:t>
      </w:r>
      <w:r w:rsidR="00817484" w:rsidRPr="00D4119B">
        <w:rPr>
          <w:rFonts w:ascii="Arial" w:hAnsi="Arial"/>
        </w:rPr>
        <w:t>your OSC analyst for additional guidance.</w:t>
      </w:r>
    </w:p>
    <w:p w14:paraId="2ECD0D16" w14:textId="77777777" w:rsidR="000501E3" w:rsidRDefault="000501E3" w:rsidP="00376A5E">
      <w:pPr>
        <w:jc w:val="both"/>
        <w:rPr>
          <w:rFonts w:ascii="Arial" w:hAnsi="Arial"/>
          <w:u w:val="single"/>
        </w:rPr>
      </w:pPr>
    </w:p>
    <w:p w14:paraId="0B7BC2D0" w14:textId="276B2685" w:rsidR="00787629" w:rsidRDefault="00787629" w:rsidP="00376A5E">
      <w:pPr>
        <w:jc w:val="both"/>
        <w:rPr>
          <w:rFonts w:ascii="Arial" w:hAnsi="Arial"/>
        </w:rPr>
      </w:pPr>
      <w:r w:rsidRPr="00787629">
        <w:rPr>
          <w:rFonts w:ascii="Arial" w:hAnsi="Arial"/>
          <w:u w:val="single"/>
        </w:rPr>
        <w:lastRenderedPageBreak/>
        <w:t>Worksheet 410</w:t>
      </w:r>
      <w:r>
        <w:rPr>
          <w:rFonts w:ascii="Arial" w:hAnsi="Arial"/>
        </w:rPr>
        <w:t xml:space="preserve"> – There are </w:t>
      </w:r>
      <w:r w:rsidR="00350227">
        <w:rPr>
          <w:rFonts w:ascii="Arial" w:hAnsi="Arial"/>
        </w:rPr>
        <w:t xml:space="preserve">no </w:t>
      </w:r>
      <w:r>
        <w:rPr>
          <w:rFonts w:ascii="Arial" w:hAnsi="Arial"/>
        </w:rPr>
        <w:t>drop</w:t>
      </w:r>
      <w:r w:rsidR="00D55DDF">
        <w:rPr>
          <w:rFonts w:ascii="Arial" w:hAnsi="Arial"/>
        </w:rPr>
        <w:t>-</w:t>
      </w:r>
      <w:r>
        <w:rPr>
          <w:rFonts w:ascii="Arial" w:hAnsi="Arial"/>
        </w:rPr>
        <w:t xml:space="preserve">down boxes to select the specific purpose for </w:t>
      </w:r>
      <w:proofErr w:type="spellStart"/>
      <w:r w:rsidR="00350227">
        <w:rPr>
          <w:rFonts w:ascii="Arial" w:hAnsi="Arial"/>
        </w:rPr>
        <w:t>nonspendable</w:t>
      </w:r>
      <w:proofErr w:type="spellEnd"/>
      <w:r w:rsidR="00350227">
        <w:rPr>
          <w:rFonts w:ascii="Arial" w:hAnsi="Arial"/>
        </w:rPr>
        <w:t xml:space="preserve">, </w:t>
      </w:r>
      <w:r>
        <w:rPr>
          <w:rFonts w:ascii="Arial" w:hAnsi="Arial"/>
        </w:rPr>
        <w:t xml:space="preserve">restricted, committed, or assigned fund balance. Enter the fund balance amount on the applicable purpose line, most likely, </w:t>
      </w:r>
      <w:r w:rsidR="00D55DDF">
        <w:rPr>
          <w:rFonts w:ascii="Arial" w:hAnsi="Arial"/>
        </w:rPr>
        <w:t>“</w:t>
      </w:r>
      <w:r>
        <w:rPr>
          <w:rFonts w:ascii="Arial" w:hAnsi="Arial"/>
        </w:rPr>
        <w:t>Capital projects/</w:t>
      </w:r>
      <w:r w:rsidR="00D55DDF">
        <w:rPr>
          <w:rFonts w:ascii="Arial" w:hAnsi="Arial"/>
        </w:rPr>
        <w:t>r</w:t>
      </w:r>
      <w:r>
        <w:rPr>
          <w:rFonts w:ascii="Arial" w:hAnsi="Arial"/>
        </w:rPr>
        <w:t>epairs and renovations</w:t>
      </w:r>
      <w:r w:rsidR="00D55DDF">
        <w:rPr>
          <w:rFonts w:ascii="Arial" w:hAnsi="Arial"/>
        </w:rPr>
        <w:t>”</w:t>
      </w:r>
      <w:r>
        <w:rPr>
          <w:rFonts w:ascii="Arial" w:hAnsi="Arial"/>
        </w:rPr>
        <w:t xml:space="preserve">. If an amount is entered on the “Other” line for restricted, committed, or assigned fund balance, list the specific purpose at the bottom of the worksheet in the designated section. </w:t>
      </w:r>
    </w:p>
    <w:p w14:paraId="25ED536C" w14:textId="77777777" w:rsidR="00376A5E" w:rsidRDefault="00376A5E" w:rsidP="00376A5E">
      <w:pPr>
        <w:jc w:val="both"/>
        <w:rPr>
          <w:rFonts w:ascii="Arial" w:hAnsi="Arial"/>
        </w:rPr>
      </w:pPr>
    </w:p>
    <w:p w14:paraId="1CA61002" w14:textId="76100E4C" w:rsidR="00376A5E" w:rsidRDefault="00376A5E" w:rsidP="00376A5E">
      <w:pPr>
        <w:jc w:val="both"/>
        <w:rPr>
          <w:rFonts w:ascii="Arial" w:hAnsi="Arial"/>
        </w:rPr>
      </w:pPr>
      <w:r w:rsidRPr="00857163">
        <w:rPr>
          <w:rFonts w:ascii="Arial" w:hAnsi="Arial"/>
          <w:b/>
          <w:i/>
          <w:u w:val="single"/>
        </w:rPr>
        <w:t xml:space="preserve">For any </w:t>
      </w:r>
      <w:r>
        <w:rPr>
          <w:rFonts w:ascii="Arial" w:hAnsi="Arial"/>
          <w:b/>
          <w:i/>
          <w:u w:val="single"/>
        </w:rPr>
        <w:t>restricted, committed, or assigned amounts</w:t>
      </w:r>
      <w:r w:rsidRPr="00857163">
        <w:rPr>
          <w:rFonts w:ascii="Arial" w:hAnsi="Arial"/>
          <w:b/>
          <w:i/>
          <w:u w:val="single"/>
        </w:rPr>
        <w:t xml:space="preserve"> identified on the 401-415 worksheets, the agency must complete the </w:t>
      </w:r>
      <w:r w:rsidR="000C7E6E">
        <w:rPr>
          <w:rFonts w:ascii="Arial" w:hAnsi="Arial"/>
          <w:b/>
          <w:i/>
          <w:u w:val="single"/>
        </w:rPr>
        <w:t>A</w:t>
      </w:r>
      <w:r w:rsidR="00AC4216">
        <w:rPr>
          <w:rFonts w:ascii="Arial" w:hAnsi="Arial"/>
          <w:b/>
          <w:i/>
          <w:u w:val="single"/>
        </w:rPr>
        <w:t>CFR</w:t>
      </w:r>
      <w:r w:rsidRPr="00857163">
        <w:rPr>
          <w:rFonts w:ascii="Arial" w:hAnsi="Arial"/>
          <w:b/>
          <w:i/>
          <w:u w:val="single"/>
        </w:rPr>
        <w:t xml:space="preserve"> narrative and provide </w:t>
      </w:r>
      <w:proofErr w:type="gramStart"/>
      <w:r w:rsidRPr="00857163">
        <w:rPr>
          <w:rFonts w:ascii="Arial" w:hAnsi="Arial"/>
          <w:b/>
          <w:i/>
          <w:u w:val="single"/>
        </w:rPr>
        <w:t>detail</w:t>
      </w:r>
      <w:proofErr w:type="gramEnd"/>
      <w:r w:rsidRPr="00857163">
        <w:rPr>
          <w:rFonts w:ascii="Arial" w:hAnsi="Arial"/>
          <w:b/>
          <w:i/>
          <w:u w:val="single"/>
        </w:rPr>
        <w:t xml:space="preserve"> descriptions for each</w:t>
      </w:r>
      <w:r>
        <w:rPr>
          <w:rFonts w:ascii="Arial" w:hAnsi="Arial"/>
        </w:rPr>
        <w:t xml:space="preserve">.  For example, if the Department of </w:t>
      </w:r>
      <w:r w:rsidR="00B95C1B">
        <w:rPr>
          <w:rFonts w:ascii="Arial" w:hAnsi="Arial"/>
        </w:rPr>
        <w:t>Public Safety</w:t>
      </w:r>
      <w:r>
        <w:rPr>
          <w:rFonts w:ascii="Arial" w:hAnsi="Arial"/>
        </w:rPr>
        <w:t xml:space="preserve"> </w:t>
      </w:r>
      <w:r w:rsidR="00B95C1B">
        <w:rPr>
          <w:rFonts w:ascii="Arial" w:hAnsi="Arial"/>
        </w:rPr>
        <w:t xml:space="preserve">(DPS) </w:t>
      </w:r>
      <w:r>
        <w:rPr>
          <w:rFonts w:ascii="Arial" w:hAnsi="Arial"/>
        </w:rPr>
        <w:t xml:space="preserve">has equity related to unspent federal grants (no offsetting liability) that is reflected on the worksheet as restricted, then </w:t>
      </w:r>
      <w:r w:rsidR="00B95C1B">
        <w:rPr>
          <w:rFonts w:ascii="Arial" w:hAnsi="Arial"/>
        </w:rPr>
        <w:t xml:space="preserve">DPS </w:t>
      </w:r>
      <w:r>
        <w:rPr>
          <w:rFonts w:ascii="Arial" w:hAnsi="Arial"/>
        </w:rPr>
        <w:t xml:space="preserve">would complete the </w:t>
      </w:r>
      <w:r w:rsidR="000C7E6E">
        <w:rPr>
          <w:rFonts w:ascii="Arial" w:hAnsi="Arial"/>
        </w:rPr>
        <w:t>A</w:t>
      </w:r>
      <w:r w:rsidR="00AC4216">
        <w:rPr>
          <w:rFonts w:ascii="Arial" w:hAnsi="Arial"/>
        </w:rPr>
        <w:t>CFR</w:t>
      </w:r>
      <w:r>
        <w:rPr>
          <w:rFonts w:ascii="Arial" w:hAnsi="Arial"/>
        </w:rPr>
        <w:t xml:space="preserve"> Narrative and explain - The restriction in the amount of $____ is related to the prison federal grant that restricts the usage of the funds. The explanation should identify the amount, funding source</w:t>
      </w:r>
      <w:proofErr w:type="gramStart"/>
      <w:r>
        <w:rPr>
          <w:rFonts w:ascii="Arial" w:hAnsi="Arial"/>
        </w:rPr>
        <w:t>, why</w:t>
      </w:r>
      <w:proofErr w:type="gramEnd"/>
      <w:r>
        <w:rPr>
          <w:rFonts w:ascii="Arial" w:hAnsi="Arial"/>
        </w:rPr>
        <w:t xml:space="preserve"> the amount is considered restricted, including the reference for general statutes, federal regulations, court orders</w:t>
      </w:r>
      <w:r w:rsidR="00195611">
        <w:rPr>
          <w:rFonts w:ascii="Arial" w:hAnsi="Arial"/>
        </w:rPr>
        <w:t xml:space="preserve">, </w:t>
      </w:r>
      <w:r>
        <w:rPr>
          <w:rFonts w:ascii="Arial" w:hAnsi="Arial"/>
        </w:rPr>
        <w:t>etc</w:t>
      </w:r>
      <w:r w:rsidR="00195611">
        <w:rPr>
          <w:rFonts w:ascii="Arial" w:hAnsi="Arial"/>
        </w:rPr>
        <w:t>.</w:t>
      </w:r>
      <w:r>
        <w:rPr>
          <w:rFonts w:ascii="Arial" w:hAnsi="Arial"/>
        </w:rPr>
        <w:t xml:space="preserve"> where applicable. </w:t>
      </w:r>
    </w:p>
    <w:p w14:paraId="29C0D1ED" w14:textId="77777777" w:rsidR="00DD556D" w:rsidRDefault="00DD556D" w:rsidP="00376A5E">
      <w:pPr>
        <w:jc w:val="both"/>
        <w:rPr>
          <w:rFonts w:ascii="Arial" w:hAnsi="Arial"/>
        </w:rPr>
      </w:pPr>
    </w:p>
    <w:p w14:paraId="65424996" w14:textId="00DED050" w:rsidR="00DD556D" w:rsidRDefault="00DD556D" w:rsidP="00376A5E">
      <w:pPr>
        <w:jc w:val="both"/>
        <w:rPr>
          <w:rFonts w:ascii="Arial" w:hAnsi="Arial"/>
        </w:rPr>
      </w:pPr>
      <w:r>
        <w:rPr>
          <w:rFonts w:ascii="Arial" w:hAnsi="Arial"/>
        </w:rPr>
        <w:t xml:space="preserve">If any </w:t>
      </w:r>
      <w:r w:rsidR="001D4A0F">
        <w:rPr>
          <w:rFonts w:ascii="Arial" w:hAnsi="Arial"/>
        </w:rPr>
        <w:t>adjustments to the worksheet are</w:t>
      </w:r>
      <w:r>
        <w:rPr>
          <w:rFonts w:ascii="Arial" w:hAnsi="Arial"/>
        </w:rPr>
        <w:t xml:space="preserve"> made during the </w:t>
      </w:r>
      <w:r w:rsidR="00D84E4C">
        <w:rPr>
          <w:rFonts w:ascii="Arial" w:hAnsi="Arial"/>
        </w:rPr>
        <w:t>A</w:t>
      </w:r>
      <w:r w:rsidR="00AC4216">
        <w:rPr>
          <w:rFonts w:ascii="Arial" w:hAnsi="Arial"/>
        </w:rPr>
        <w:t>CFR</w:t>
      </w:r>
      <w:r>
        <w:rPr>
          <w:rFonts w:ascii="Arial" w:hAnsi="Arial"/>
        </w:rPr>
        <w:t xml:space="preserve"> compilation, OSC will provide</w:t>
      </w:r>
      <w:r w:rsidR="00195611">
        <w:rPr>
          <w:rFonts w:ascii="Arial" w:hAnsi="Arial"/>
        </w:rPr>
        <w:t xml:space="preserve"> copies</w:t>
      </w:r>
      <w:r>
        <w:rPr>
          <w:rFonts w:ascii="Arial" w:hAnsi="Arial"/>
        </w:rPr>
        <w:t xml:space="preserve"> to the agency.  The agency should compare the prior year worksheet to the current </w:t>
      </w:r>
      <w:proofErr w:type="gramStart"/>
      <w:r>
        <w:rPr>
          <w:rFonts w:ascii="Arial" w:hAnsi="Arial"/>
        </w:rPr>
        <w:t>year</w:t>
      </w:r>
      <w:proofErr w:type="gramEnd"/>
      <w:r>
        <w:rPr>
          <w:rFonts w:ascii="Arial" w:hAnsi="Arial"/>
        </w:rPr>
        <w:t xml:space="preserve"> classification for reasonableness.</w:t>
      </w:r>
    </w:p>
    <w:p w14:paraId="3B0DED30" w14:textId="77777777" w:rsidR="00A135AC" w:rsidRDefault="00A135AC">
      <w:pPr>
        <w:jc w:val="both"/>
        <w:rPr>
          <w:rFonts w:ascii="Arial" w:hAnsi="Arial"/>
        </w:rPr>
      </w:pPr>
    </w:p>
    <w:bookmarkEnd w:id="0"/>
    <w:p w14:paraId="20512148" w14:textId="77777777" w:rsidR="004E46A3" w:rsidRPr="00B26D47" w:rsidRDefault="004E46A3">
      <w:pPr>
        <w:pStyle w:val="Heading3"/>
        <w:spacing w:line="240" w:lineRule="auto"/>
        <w:jc w:val="left"/>
        <w:rPr>
          <w:rFonts w:ascii="Arial" w:hAnsi="Arial"/>
          <w:u w:val="single"/>
          <w:lang w:val="en-US"/>
        </w:rPr>
      </w:pPr>
      <w:r>
        <w:rPr>
          <w:rFonts w:ascii="Arial" w:hAnsi="Arial"/>
          <w:u w:val="single"/>
        </w:rPr>
        <w:t xml:space="preserve">Restricted and </w:t>
      </w:r>
      <w:r w:rsidRPr="009C4576">
        <w:rPr>
          <w:rFonts w:ascii="Arial" w:hAnsi="Arial"/>
          <w:u w:val="single"/>
        </w:rPr>
        <w:t xml:space="preserve">Unrestricted Net </w:t>
      </w:r>
      <w:r w:rsidR="00421C38" w:rsidRPr="009C4576">
        <w:rPr>
          <w:rFonts w:ascii="Arial" w:hAnsi="Arial"/>
          <w:u w:val="single"/>
          <w:lang w:val="en-US"/>
        </w:rPr>
        <w:t>Position</w:t>
      </w:r>
      <w:r w:rsidRPr="009C4576">
        <w:rPr>
          <w:rFonts w:ascii="Arial" w:hAnsi="Arial"/>
          <w:u w:val="single"/>
        </w:rPr>
        <w:t xml:space="preserve"> Worksheet (</w:t>
      </w:r>
      <w:r w:rsidRPr="009C4576">
        <w:rPr>
          <w:rFonts w:ascii="Arial" w:hAnsi="Arial"/>
          <w:smallCaps w:val="0"/>
          <w:u w:val="single"/>
        </w:rPr>
        <w:t>420</w:t>
      </w:r>
      <w:r w:rsidRPr="009C4576">
        <w:rPr>
          <w:rFonts w:ascii="Arial" w:hAnsi="Arial"/>
          <w:u w:val="single"/>
        </w:rPr>
        <w:t>)</w:t>
      </w:r>
    </w:p>
    <w:p w14:paraId="63768EA3" w14:textId="77777777" w:rsidR="004E46A3" w:rsidRPr="009C4576" w:rsidRDefault="004E46A3">
      <w:pPr>
        <w:jc w:val="both"/>
        <w:rPr>
          <w:rFonts w:ascii="Arial" w:hAnsi="Arial"/>
        </w:rPr>
      </w:pPr>
    </w:p>
    <w:p w14:paraId="564AE7FE" w14:textId="08AB65B8" w:rsidR="002F75B5" w:rsidRDefault="004E46A3" w:rsidP="002F75B5">
      <w:pPr>
        <w:jc w:val="both"/>
        <w:rPr>
          <w:rFonts w:ascii="Arial" w:hAnsi="Arial"/>
        </w:rPr>
      </w:pPr>
      <w:r w:rsidRPr="009C4576">
        <w:rPr>
          <w:rFonts w:ascii="Arial" w:hAnsi="Arial"/>
        </w:rPr>
        <w:t xml:space="preserve">This worksheet should be completed </w:t>
      </w:r>
      <w:r w:rsidR="00CF7B1F" w:rsidRPr="009C4576">
        <w:rPr>
          <w:rFonts w:ascii="Arial" w:hAnsi="Arial"/>
        </w:rPr>
        <w:t>by business</w:t>
      </w:r>
      <w:r w:rsidR="00D55DDF">
        <w:rPr>
          <w:rFonts w:ascii="Arial" w:hAnsi="Arial"/>
        </w:rPr>
        <w:t>-</w:t>
      </w:r>
      <w:r w:rsidR="00CF7B1F" w:rsidRPr="009C4576">
        <w:rPr>
          <w:rFonts w:ascii="Arial" w:hAnsi="Arial"/>
        </w:rPr>
        <w:t>type activities (BTA</w:t>
      </w:r>
      <w:r w:rsidR="00A95AD5" w:rsidRPr="009C4576">
        <w:rPr>
          <w:rFonts w:ascii="Arial" w:hAnsi="Arial"/>
        </w:rPr>
        <w:t>s</w:t>
      </w:r>
      <w:r w:rsidR="00CF7B1F" w:rsidRPr="009C4576">
        <w:rPr>
          <w:rFonts w:ascii="Arial" w:hAnsi="Arial"/>
        </w:rPr>
        <w:t>)</w:t>
      </w:r>
      <w:r w:rsidR="00D96623" w:rsidRPr="009C4576">
        <w:rPr>
          <w:rFonts w:ascii="Arial" w:hAnsi="Arial"/>
        </w:rPr>
        <w:t xml:space="preserve"> </w:t>
      </w:r>
      <w:r w:rsidR="00C14CD3" w:rsidRPr="009C4576">
        <w:rPr>
          <w:rFonts w:ascii="Arial" w:hAnsi="Arial"/>
        </w:rPr>
        <w:t>using the</w:t>
      </w:r>
      <w:r w:rsidR="00D96623" w:rsidRPr="009C4576">
        <w:rPr>
          <w:rFonts w:ascii="Arial" w:hAnsi="Arial"/>
        </w:rPr>
        <w:t xml:space="preserve"> NC</w:t>
      </w:r>
      <w:r w:rsidR="00003061">
        <w:rPr>
          <w:rFonts w:ascii="Arial" w:hAnsi="Arial"/>
        </w:rPr>
        <w:t>FS ACFR</w:t>
      </w:r>
      <w:r w:rsidR="00CF7B1F" w:rsidRPr="009C4576">
        <w:rPr>
          <w:rFonts w:ascii="Arial" w:hAnsi="Arial"/>
        </w:rPr>
        <w:t xml:space="preserve"> </w:t>
      </w:r>
      <w:r w:rsidR="00C14CD3" w:rsidRPr="009C4576">
        <w:rPr>
          <w:rFonts w:ascii="Arial" w:hAnsi="Arial"/>
        </w:rPr>
        <w:t xml:space="preserve">11P and 53P </w:t>
      </w:r>
      <w:r w:rsidR="00D84E4C">
        <w:rPr>
          <w:rFonts w:ascii="Arial" w:hAnsi="Arial"/>
        </w:rPr>
        <w:t xml:space="preserve">reports </w:t>
      </w:r>
      <w:r w:rsidR="00C14CD3" w:rsidRPr="009C4576">
        <w:rPr>
          <w:rFonts w:ascii="Arial" w:hAnsi="Arial"/>
        </w:rPr>
        <w:t>for year-</w:t>
      </w:r>
      <w:r w:rsidR="00CF7B1F" w:rsidRPr="009C4576">
        <w:rPr>
          <w:rFonts w:ascii="Arial" w:hAnsi="Arial"/>
        </w:rPr>
        <w:t>end reporting</w:t>
      </w:r>
      <w:r w:rsidR="00D96623" w:rsidRPr="009C4576">
        <w:rPr>
          <w:rFonts w:ascii="Arial" w:hAnsi="Arial"/>
        </w:rPr>
        <w:t xml:space="preserve">. </w:t>
      </w:r>
      <w:r w:rsidR="000A75B8" w:rsidRPr="009C4576">
        <w:rPr>
          <w:rFonts w:ascii="Arial" w:hAnsi="Arial"/>
        </w:rPr>
        <w:t xml:space="preserve">This worksheet is not necessary and therefore not applicable for agencies </w:t>
      </w:r>
      <w:r w:rsidR="00C14CD3" w:rsidRPr="009C4576">
        <w:rPr>
          <w:rFonts w:ascii="Arial" w:hAnsi="Arial"/>
        </w:rPr>
        <w:t>using</w:t>
      </w:r>
      <w:r w:rsidR="000A75B8" w:rsidRPr="009C4576">
        <w:rPr>
          <w:rFonts w:ascii="Arial" w:hAnsi="Arial"/>
        </w:rPr>
        <w:t xml:space="preserve"> the offline financial statement for proprietary funds</w:t>
      </w:r>
      <w:r w:rsidR="00D55DDF">
        <w:rPr>
          <w:rFonts w:ascii="Arial" w:hAnsi="Arial"/>
        </w:rPr>
        <w:t xml:space="preserve">, </w:t>
      </w:r>
      <w:r w:rsidR="000A75B8" w:rsidRPr="009C4576">
        <w:rPr>
          <w:rFonts w:ascii="Arial" w:hAnsi="Arial"/>
        </w:rPr>
        <w:t>worksheet 905</w:t>
      </w:r>
      <w:r w:rsidR="00D55DDF">
        <w:rPr>
          <w:rFonts w:ascii="Arial" w:hAnsi="Arial"/>
        </w:rPr>
        <w:t>,</w:t>
      </w:r>
      <w:r w:rsidR="000A75B8" w:rsidRPr="009C4576">
        <w:rPr>
          <w:rFonts w:ascii="Arial" w:hAnsi="Arial"/>
        </w:rPr>
        <w:t xml:space="preserve"> because the classifications for restricted and unrestricted net </w:t>
      </w:r>
      <w:r w:rsidR="00421C38" w:rsidRPr="009C4576">
        <w:rPr>
          <w:rFonts w:ascii="Arial" w:hAnsi="Arial"/>
        </w:rPr>
        <w:t>position</w:t>
      </w:r>
      <w:r w:rsidR="000A75B8" w:rsidRPr="009C4576">
        <w:rPr>
          <w:rFonts w:ascii="Arial" w:hAnsi="Arial"/>
        </w:rPr>
        <w:t xml:space="preserve"> are </w:t>
      </w:r>
      <w:r w:rsidR="00D55DDF">
        <w:rPr>
          <w:rFonts w:ascii="Arial" w:hAnsi="Arial"/>
        </w:rPr>
        <w:t xml:space="preserve">already </w:t>
      </w:r>
      <w:r w:rsidR="000A75B8" w:rsidRPr="009C4576">
        <w:rPr>
          <w:rFonts w:ascii="Arial" w:hAnsi="Arial"/>
        </w:rPr>
        <w:t xml:space="preserve">reported in the net </w:t>
      </w:r>
      <w:r w:rsidR="00421C38" w:rsidRPr="009C4576">
        <w:rPr>
          <w:rFonts w:ascii="Arial" w:hAnsi="Arial"/>
        </w:rPr>
        <w:t>position</w:t>
      </w:r>
      <w:r w:rsidR="000A75B8" w:rsidRPr="009C4576">
        <w:rPr>
          <w:rFonts w:ascii="Arial" w:hAnsi="Arial"/>
        </w:rPr>
        <w:t xml:space="preserve"> section </w:t>
      </w:r>
      <w:r w:rsidR="00D55DDF">
        <w:rPr>
          <w:rFonts w:ascii="Arial" w:hAnsi="Arial"/>
        </w:rPr>
        <w:t xml:space="preserve">of that </w:t>
      </w:r>
      <w:r w:rsidR="000A75B8" w:rsidRPr="009C4576">
        <w:rPr>
          <w:rFonts w:ascii="Arial" w:hAnsi="Arial"/>
        </w:rPr>
        <w:t>template.</w:t>
      </w:r>
      <w:r w:rsidR="00B26D47">
        <w:rPr>
          <w:rFonts w:ascii="Arial" w:hAnsi="Arial"/>
        </w:rPr>
        <w:t xml:space="preserve">  </w:t>
      </w:r>
      <w:r w:rsidR="00D55DDF">
        <w:rPr>
          <w:rFonts w:ascii="Arial" w:hAnsi="Arial"/>
        </w:rPr>
        <w:t>(</w:t>
      </w:r>
      <w:r w:rsidR="00B26D47" w:rsidRPr="00D55DDF">
        <w:rPr>
          <w:rFonts w:ascii="Arial" w:hAnsi="Arial"/>
        </w:rPr>
        <w:t>However, offline agencies using the 905 may also use the guidance below for calculating the components of Net position.</w:t>
      </w:r>
      <w:r w:rsidR="00D55DDF">
        <w:rPr>
          <w:rFonts w:ascii="Arial" w:hAnsi="Arial"/>
        </w:rPr>
        <w:t>)</w:t>
      </w:r>
      <w:r w:rsidR="002F75B5" w:rsidRPr="002F75B5">
        <w:rPr>
          <w:rFonts w:ascii="Arial" w:hAnsi="Arial"/>
        </w:rPr>
        <w:t xml:space="preserve"> </w:t>
      </w:r>
    </w:p>
    <w:p w14:paraId="12B2E0E1" w14:textId="77777777" w:rsidR="002F75B5" w:rsidRDefault="002F75B5">
      <w:pPr>
        <w:jc w:val="both"/>
        <w:rPr>
          <w:rFonts w:ascii="Arial" w:hAnsi="Arial"/>
        </w:rPr>
      </w:pPr>
    </w:p>
    <w:p w14:paraId="064448BC" w14:textId="77777777" w:rsidR="008E6B2C" w:rsidRDefault="002F75B5" w:rsidP="002F75B5">
      <w:pPr>
        <w:jc w:val="both"/>
        <w:rPr>
          <w:rFonts w:ascii="Arial" w:hAnsi="Arial"/>
        </w:rPr>
      </w:pPr>
      <w:r>
        <w:rPr>
          <w:rFonts w:ascii="Arial" w:hAnsi="Arial"/>
        </w:rPr>
        <w:t xml:space="preserve">This worksheet represents the disclosure of the individual net position components and is considered an integral part of the </w:t>
      </w:r>
      <w:r w:rsidR="00D84E4C">
        <w:rPr>
          <w:rFonts w:ascii="Arial" w:hAnsi="Arial"/>
        </w:rPr>
        <w:t>1</w:t>
      </w:r>
      <w:r>
        <w:rPr>
          <w:rFonts w:ascii="Arial" w:hAnsi="Arial"/>
        </w:rPr>
        <w:t>1P statement of net p</w:t>
      </w:r>
      <w:r w:rsidRPr="00421C38">
        <w:rPr>
          <w:rFonts w:ascii="Arial" w:hAnsi="Arial"/>
        </w:rPr>
        <w:t>osition</w:t>
      </w:r>
      <w:r>
        <w:rPr>
          <w:rFonts w:ascii="Arial" w:hAnsi="Arial"/>
        </w:rPr>
        <w:t xml:space="preserve"> since the standard </w:t>
      </w:r>
      <w:r w:rsidR="007D1456">
        <w:rPr>
          <w:rFonts w:ascii="Arial" w:hAnsi="Arial"/>
        </w:rPr>
        <w:t>NCFS ACFR</w:t>
      </w:r>
      <w:r>
        <w:rPr>
          <w:rFonts w:ascii="Arial" w:hAnsi="Arial"/>
        </w:rPr>
        <w:t xml:space="preserve"> 11P reports net </w:t>
      </w:r>
      <w:r w:rsidRPr="00421C38">
        <w:rPr>
          <w:rFonts w:ascii="Arial" w:hAnsi="Arial"/>
        </w:rPr>
        <w:t>position</w:t>
      </w:r>
      <w:r>
        <w:rPr>
          <w:rFonts w:ascii="Arial" w:hAnsi="Arial"/>
        </w:rPr>
        <w:t xml:space="preserve"> in total, with no breakdown of the individual net position components.  </w:t>
      </w:r>
      <w:r w:rsidR="00B61582">
        <w:rPr>
          <w:rFonts w:ascii="Arial" w:hAnsi="Arial"/>
        </w:rPr>
        <w:t>W</w:t>
      </w:r>
      <w:r>
        <w:rPr>
          <w:rFonts w:ascii="Arial" w:hAnsi="Arial"/>
        </w:rPr>
        <w:t xml:space="preserve">orksheet 420 </w:t>
      </w:r>
      <w:r w:rsidR="00B61582">
        <w:rPr>
          <w:rFonts w:ascii="Arial" w:hAnsi="Arial"/>
        </w:rPr>
        <w:t>is</w:t>
      </w:r>
      <w:r>
        <w:rPr>
          <w:rFonts w:ascii="Arial" w:hAnsi="Arial"/>
        </w:rPr>
        <w:t xml:space="preserve"> the source </w:t>
      </w:r>
      <w:r w:rsidR="00B61582">
        <w:rPr>
          <w:rFonts w:ascii="Arial" w:hAnsi="Arial"/>
        </w:rPr>
        <w:t xml:space="preserve">used </w:t>
      </w:r>
    </w:p>
    <w:p w14:paraId="17A85FAE" w14:textId="77777777" w:rsidR="008E6B2C" w:rsidRDefault="008E6B2C" w:rsidP="002F75B5">
      <w:pPr>
        <w:jc w:val="both"/>
        <w:rPr>
          <w:rFonts w:ascii="Arial" w:hAnsi="Arial"/>
        </w:rPr>
      </w:pPr>
    </w:p>
    <w:p w14:paraId="7369D6E6" w14:textId="04A70CF2" w:rsidR="002F75B5" w:rsidRDefault="00B61582" w:rsidP="002F75B5">
      <w:pPr>
        <w:jc w:val="both"/>
        <w:rPr>
          <w:rFonts w:ascii="Arial" w:hAnsi="Arial"/>
        </w:rPr>
      </w:pPr>
      <w:r>
        <w:rPr>
          <w:rFonts w:ascii="Arial" w:hAnsi="Arial"/>
        </w:rPr>
        <w:t>to disclose the individual net position components in</w:t>
      </w:r>
      <w:r w:rsidR="002F75B5">
        <w:rPr>
          <w:rFonts w:ascii="Arial" w:hAnsi="Arial"/>
        </w:rPr>
        <w:t xml:space="preserve"> the </w:t>
      </w:r>
      <w:r w:rsidR="000D4806">
        <w:rPr>
          <w:rFonts w:ascii="Arial" w:hAnsi="Arial"/>
        </w:rPr>
        <w:t>A</w:t>
      </w:r>
      <w:r w:rsidR="00015880">
        <w:rPr>
          <w:rFonts w:ascii="Arial" w:hAnsi="Arial"/>
        </w:rPr>
        <w:t>CFR</w:t>
      </w:r>
      <w:r w:rsidR="002F75B5">
        <w:rPr>
          <w:rFonts w:ascii="Arial" w:hAnsi="Arial"/>
        </w:rPr>
        <w:t xml:space="preserve">.  Therefore, this worksheet must be complete, accurate and agree to the 11P </w:t>
      </w:r>
      <w:r w:rsidR="00D84E4C">
        <w:rPr>
          <w:rFonts w:ascii="Arial" w:hAnsi="Arial"/>
        </w:rPr>
        <w:t xml:space="preserve">net position </w:t>
      </w:r>
      <w:r w:rsidR="002F75B5">
        <w:rPr>
          <w:rFonts w:ascii="Arial" w:hAnsi="Arial"/>
        </w:rPr>
        <w:t>when the package is turned in and should not be updated after the</w:t>
      </w:r>
      <w:r w:rsidR="00D84E4C">
        <w:rPr>
          <w:rFonts w:ascii="Arial" w:hAnsi="Arial"/>
        </w:rPr>
        <w:t xml:space="preserve"> </w:t>
      </w:r>
      <w:r w:rsidR="00015880">
        <w:rPr>
          <w:rFonts w:ascii="Arial" w:hAnsi="Arial"/>
        </w:rPr>
        <w:t xml:space="preserve">ACFR </w:t>
      </w:r>
      <w:r w:rsidR="002F75B5">
        <w:rPr>
          <w:rFonts w:ascii="Arial" w:hAnsi="Arial"/>
        </w:rPr>
        <w:t xml:space="preserve">package is turned in unless authorized by OSC.   </w:t>
      </w:r>
    </w:p>
    <w:p w14:paraId="3E663A7A" w14:textId="77777777" w:rsidR="002F75B5" w:rsidRDefault="002F75B5" w:rsidP="002F75B5">
      <w:pPr>
        <w:jc w:val="both"/>
        <w:rPr>
          <w:rFonts w:ascii="Arial" w:hAnsi="Arial"/>
        </w:rPr>
      </w:pPr>
    </w:p>
    <w:p w14:paraId="35C7F3BD" w14:textId="77777777" w:rsidR="0034652B" w:rsidRDefault="002F75B5" w:rsidP="002F75B5">
      <w:pPr>
        <w:jc w:val="both"/>
        <w:rPr>
          <w:rFonts w:ascii="Arial" w:hAnsi="Arial"/>
        </w:rPr>
      </w:pPr>
      <w:r>
        <w:rPr>
          <w:rFonts w:ascii="Arial" w:hAnsi="Arial"/>
        </w:rPr>
        <w:t xml:space="preserve">Refer to the policy on the OSC website for descriptions of each component of net position.  </w:t>
      </w:r>
    </w:p>
    <w:p w14:paraId="36DFF6C4" w14:textId="77777777" w:rsidR="0034652B" w:rsidRDefault="0034652B" w:rsidP="002F75B5">
      <w:pPr>
        <w:jc w:val="both"/>
        <w:rPr>
          <w:rFonts w:ascii="Arial" w:hAnsi="Arial"/>
        </w:rPr>
      </w:pPr>
    </w:p>
    <w:p w14:paraId="72DE3D26" w14:textId="6FD58529" w:rsidR="002F75B5" w:rsidRPr="00EE76BC" w:rsidRDefault="00EE76BC" w:rsidP="002F75B5">
      <w:pPr>
        <w:jc w:val="both"/>
        <w:rPr>
          <w:rStyle w:val="Hyperlink"/>
          <w:rFonts w:ascii="Arial" w:hAnsi="Arial"/>
        </w:rPr>
      </w:pPr>
      <w:r>
        <w:rPr>
          <w:rFonts w:ascii="Arial" w:hAnsi="Arial"/>
        </w:rPr>
        <w:fldChar w:fldCharType="begin"/>
      </w:r>
      <w:r w:rsidR="008579BB">
        <w:rPr>
          <w:rFonts w:ascii="Arial" w:hAnsi="Arial"/>
        </w:rPr>
        <w:instrText>HYPERLINK "https://www.ncosc.gov/state-agency-resources/statewide-policy-directory/10106-statewide-accounting-policy-net-position"</w:instrText>
      </w:r>
      <w:r>
        <w:rPr>
          <w:rFonts w:ascii="Arial" w:hAnsi="Arial"/>
        </w:rPr>
      </w:r>
      <w:r>
        <w:rPr>
          <w:rFonts w:ascii="Arial" w:hAnsi="Arial"/>
        </w:rPr>
        <w:fldChar w:fldCharType="separate"/>
      </w:r>
      <w:r w:rsidR="0034652B" w:rsidRPr="00EE76BC">
        <w:rPr>
          <w:rStyle w:val="Hyperlink"/>
          <w:rFonts w:ascii="Arial" w:hAnsi="Arial"/>
        </w:rPr>
        <w:t>NC OSC Policy 101.6 Net Position</w:t>
      </w:r>
      <w:r w:rsidR="002F75B5" w:rsidRPr="00EE76BC">
        <w:rPr>
          <w:rStyle w:val="Hyperlink"/>
          <w:rFonts w:ascii="Arial" w:hAnsi="Arial"/>
        </w:rPr>
        <w:t xml:space="preserve"> </w:t>
      </w:r>
    </w:p>
    <w:p w14:paraId="22E37795" w14:textId="39FAEAE1" w:rsidR="00D84E4C" w:rsidRDefault="00EE76BC">
      <w:pPr>
        <w:jc w:val="both"/>
        <w:rPr>
          <w:rFonts w:ascii="Arial" w:hAnsi="Arial"/>
        </w:rPr>
      </w:pPr>
      <w:r>
        <w:rPr>
          <w:rFonts w:ascii="Arial" w:hAnsi="Arial"/>
        </w:rPr>
        <w:fldChar w:fldCharType="end"/>
      </w:r>
    </w:p>
    <w:p w14:paraId="22DAA07A" w14:textId="48A2ACE1" w:rsidR="00DE2D05" w:rsidRDefault="000A75B8">
      <w:pPr>
        <w:jc w:val="both"/>
        <w:rPr>
          <w:rFonts w:ascii="Arial" w:hAnsi="Arial"/>
        </w:rPr>
      </w:pPr>
      <w:r w:rsidRPr="009C4576">
        <w:rPr>
          <w:rFonts w:ascii="Arial" w:hAnsi="Arial"/>
        </w:rPr>
        <w:t>For agencies using NC</w:t>
      </w:r>
      <w:r w:rsidR="00E01F84">
        <w:rPr>
          <w:rFonts w:ascii="Arial" w:hAnsi="Arial"/>
        </w:rPr>
        <w:t>FS</w:t>
      </w:r>
      <w:r w:rsidR="00243BAE">
        <w:rPr>
          <w:rFonts w:ascii="Arial" w:hAnsi="Arial"/>
        </w:rPr>
        <w:t xml:space="preserve"> and the NCFS reports</w:t>
      </w:r>
      <w:r w:rsidRPr="009C4576">
        <w:rPr>
          <w:rFonts w:ascii="Arial" w:hAnsi="Arial"/>
        </w:rPr>
        <w:t>, t</w:t>
      </w:r>
      <w:r w:rsidR="004E46A3" w:rsidRPr="009C4576">
        <w:rPr>
          <w:rFonts w:ascii="Arial" w:hAnsi="Arial"/>
        </w:rPr>
        <w:t xml:space="preserve">he total equity must be </w:t>
      </w:r>
      <w:r w:rsidR="00455DD4" w:rsidRPr="009C4576">
        <w:rPr>
          <w:rFonts w:ascii="Arial" w:hAnsi="Arial"/>
        </w:rPr>
        <w:t xml:space="preserve">analyzed and </w:t>
      </w:r>
      <w:r w:rsidR="004E46A3" w:rsidRPr="009C4576">
        <w:rPr>
          <w:rFonts w:ascii="Arial" w:hAnsi="Arial"/>
        </w:rPr>
        <w:t>reported in the following three components: (</w:t>
      </w:r>
      <w:r w:rsidR="00D55DDF">
        <w:rPr>
          <w:rFonts w:ascii="Arial" w:hAnsi="Arial"/>
        </w:rPr>
        <w:t>1</w:t>
      </w:r>
      <w:r w:rsidR="004E46A3" w:rsidRPr="009C4576">
        <w:rPr>
          <w:rFonts w:ascii="Arial" w:hAnsi="Arial"/>
        </w:rPr>
        <w:t xml:space="preserve">) </w:t>
      </w:r>
      <w:r w:rsidR="00421C38" w:rsidRPr="009C4576">
        <w:rPr>
          <w:rFonts w:ascii="Arial" w:hAnsi="Arial"/>
        </w:rPr>
        <w:t xml:space="preserve">Net </w:t>
      </w:r>
      <w:r w:rsidR="004E46A3" w:rsidRPr="009C4576">
        <w:rPr>
          <w:rFonts w:ascii="Arial" w:hAnsi="Arial"/>
        </w:rPr>
        <w:t>invest</w:t>
      </w:r>
      <w:r w:rsidR="002D7FD0" w:rsidRPr="009C4576">
        <w:rPr>
          <w:rFonts w:ascii="Arial" w:hAnsi="Arial"/>
        </w:rPr>
        <w:t>ment</w:t>
      </w:r>
      <w:r w:rsidR="004E46A3" w:rsidRPr="009C4576">
        <w:rPr>
          <w:rFonts w:ascii="Arial" w:hAnsi="Arial"/>
        </w:rPr>
        <w:t xml:space="preserve"> in capi</w:t>
      </w:r>
      <w:r w:rsidR="00421C38" w:rsidRPr="009C4576">
        <w:rPr>
          <w:rFonts w:ascii="Arial" w:hAnsi="Arial"/>
        </w:rPr>
        <w:t>tal assets</w:t>
      </w:r>
      <w:r w:rsidR="004E46A3" w:rsidRPr="009C4576">
        <w:rPr>
          <w:rFonts w:ascii="Arial" w:hAnsi="Arial"/>
        </w:rPr>
        <w:t xml:space="preserve"> (</w:t>
      </w:r>
      <w:r w:rsidR="00D55DDF">
        <w:rPr>
          <w:rFonts w:ascii="Arial" w:hAnsi="Arial"/>
        </w:rPr>
        <w:t>2</w:t>
      </w:r>
      <w:r w:rsidR="004E46A3" w:rsidRPr="009C4576">
        <w:rPr>
          <w:rFonts w:ascii="Arial" w:hAnsi="Arial"/>
        </w:rPr>
        <w:t>) restricted</w:t>
      </w:r>
      <w:r w:rsidR="00D55DDF">
        <w:rPr>
          <w:rFonts w:ascii="Arial" w:hAnsi="Arial"/>
        </w:rPr>
        <w:t>, by function/purpose,</w:t>
      </w:r>
      <w:r w:rsidR="004E46A3" w:rsidRPr="009C4576">
        <w:rPr>
          <w:rFonts w:ascii="Arial" w:hAnsi="Arial"/>
        </w:rPr>
        <w:t xml:space="preserve"> and (</w:t>
      </w:r>
      <w:r w:rsidR="00D55DDF">
        <w:rPr>
          <w:rFonts w:ascii="Arial" w:hAnsi="Arial"/>
        </w:rPr>
        <w:t>3</w:t>
      </w:r>
      <w:r w:rsidR="004E46A3" w:rsidRPr="009C4576">
        <w:rPr>
          <w:rFonts w:ascii="Arial" w:hAnsi="Arial"/>
        </w:rPr>
        <w:t xml:space="preserve">) unrestricted. </w:t>
      </w:r>
    </w:p>
    <w:p w14:paraId="384B2B62" w14:textId="77777777" w:rsidR="002C4FB2" w:rsidRDefault="002C4FB2">
      <w:pPr>
        <w:jc w:val="both"/>
        <w:rPr>
          <w:rFonts w:ascii="Arial" w:hAnsi="Arial"/>
        </w:rPr>
      </w:pPr>
    </w:p>
    <w:p w14:paraId="36CC17E2" w14:textId="77777777" w:rsidR="00DE2D05" w:rsidRPr="002C4FB2" w:rsidRDefault="00B26D47" w:rsidP="002C4FB2">
      <w:pPr>
        <w:pStyle w:val="ListParagraph"/>
        <w:numPr>
          <w:ilvl w:val="0"/>
          <w:numId w:val="39"/>
        </w:numPr>
        <w:jc w:val="both"/>
        <w:rPr>
          <w:rFonts w:ascii="Arial" w:hAnsi="Arial"/>
          <w:sz w:val="20"/>
          <w:szCs w:val="20"/>
        </w:rPr>
      </w:pPr>
      <w:r w:rsidRPr="00D55DDF">
        <w:rPr>
          <w:rFonts w:ascii="Arial" w:hAnsi="Arial"/>
          <w:b/>
          <w:sz w:val="20"/>
          <w:szCs w:val="20"/>
        </w:rPr>
        <w:t>Net investment in capital assets</w:t>
      </w:r>
      <w:r w:rsidRPr="00D55DDF">
        <w:rPr>
          <w:rFonts w:ascii="Arial" w:hAnsi="Arial"/>
          <w:sz w:val="20"/>
          <w:szCs w:val="20"/>
        </w:rPr>
        <w:t xml:space="preserve"> should be computed first and is calculated as follows:</w:t>
      </w:r>
    </w:p>
    <w:p w14:paraId="4EBD054E" w14:textId="77777777" w:rsidR="00DE2D05" w:rsidRPr="00D55DDF" w:rsidRDefault="00B26D47">
      <w:pPr>
        <w:jc w:val="both"/>
        <w:rPr>
          <w:rFonts w:ascii="Arial" w:hAnsi="Arial"/>
        </w:rPr>
      </w:pPr>
      <w:r w:rsidRPr="00D55DDF">
        <w:rPr>
          <w:rFonts w:ascii="Arial" w:hAnsi="Arial"/>
        </w:rPr>
        <w:t xml:space="preserve">Capital assets (depreciable plus </w:t>
      </w:r>
      <w:proofErr w:type="spellStart"/>
      <w:r w:rsidRPr="00D55DDF">
        <w:rPr>
          <w:rFonts w:ascii="Arial" w:hAnsi="Arial"/>
        </w:rPr>
        <w:t>nondepreciable</w:t>
      </w:r>
      <w:proofErr w:type="spellEnd"/>
      <w:r w:rsidRPr="00D55DDF">
        <w:rPr>
          <w:rFonts w:ascii="Arial" w:hAnsi="Arial"/>
        </w:rPr>
        <w:t>)</w:t>
      </w:r>
    </w:p>
    <w:p w14:paraId="448150C3" w14:textId="77777777" w:rsidR="00B26D47" w:rsidRPr="00D55DDF" w:rsidRDefault="00B26D47">
      <w:pPr>
        <w:jc w:val="both"/>
        <w:rPr>
          <w:rFonts w:ascii="Arial" w:hAnsi="Arial"/>
        </w:rPr>
      </w:pPr>
      <w:r w:rsidRPr="00D55DDF">
        <w:rPr>
          <w:rFonts w:ascii="Arial" w:hAnsi="Arial"/>
        </w:rPr>
        <w:t>Less: Accumulated Depreciation</w:t>
      </w:r>
    </w:p>
    <w:p w14:paraId="300410FF" w14:textId="218B71E9" w:rsidR="00B26D47" w:rsidRPr="00B544FE" w:rsidRDefault="00DE2D05">
      <w:pPr>
        <w:jc w:val="both"/>
        <w:rPr>
          <w:rFonts w:ascii="Arial" w:hAnsi="Arial"/>
          <w:b/>
          <w:bCs/>
          <w:i/>
          <w:iCs/>
        </w:rPr>
      </w:pPr>
      <w:r w:rsidRPr="00D55DDF">
        <w:rPr>
          <w:rFonts w:ascii="Arial" w:hAnsi="Arial"/>
        </w:rPr>
        <w:t>Less: O</w:t>
      </w:r>
      <w:r w:rsidR="00B26D47" w:rsidRPr="00D55DDF">
        <w:rPr>
          <w:rFonts w:ascii="Arial" w:hAnsi="Arial"/>
        </w:rPr>
        <w:t>utstanding balances of borrowings for capital asset acquisition, construction, or improvement (including face amount and premiums or discounts of bonds, mortgages, notes,</w:t>
      </w:r>
      <w:r w:rsidR="008D6298">
        <w:rPr>
          <w:rFonts w:ascii="Arial" w:hAnsi="Arial"/>
        </w:rPr>
        <w:t xml:space="preserve"> leases</w:t>
      </w:r>
      <w:r w:rsidR="00B26D47" w:rsidRPr="00D55DDF">
        <w:rPr>
          <w:rFonts w:ascii="Arial" w:hAnsi="Arial"/>
        </w:rPr>
        <w:t xml:space="preserve"> and other borrowings)</w:t>
      </w:r>
      <w:r w:rsidR="00A95524">
        <w:rPr>
          <w:rFonts w:ascii="Arial" w:hAnsi="Arial"/>
        </w:rPr>
        <w:t xml:space="preserve">.  </w:t>
      </w:r>
      <w:r w:rsidR="00A95524" w:rsidRPr="00750F7F">
        <w:rPr>
          <w:rFonts w:ascii="Arial" w:hAnsi="Arial"/>
          <w:b/>
          <w:bCs/>
          <w:i/>
          <w:iCs/>
        </w:rPr>
        <w:t>Note</w:t>
      </w:r>
      <w:proofErr w:type="gramStart"/>
      <w:r w:rsidR="00A95524" w:rsidRPr="00750F7F">
        <w:rPr>
          <w:rFonts w:ascii="Arial" w:hAnsi="Arial"/>
          <w:b/>
          <w:bCs/>
          <w:i/>
          <w:iCs/>
        </w:rPr>
        <w:t>:  Outstanding</w:t>
      </w:r>
      <w:proofErr w:type="gramEnd"/>
      <w:r w:rsidR="00066E35" w:rsidRPr="00750F7F">
        <w:rPr>
          <w:rFonts w:ascii="Arial" w:hAnsi="Arial"/>
          <w:b/>
          <w:bCs/>
          <w:i/>
          <w:iCs/>
        </w:rPr>
        <w:t xml:space="preserve"> capital debt will include lease liabilities related to lease right to use assets and subscription (SBITA) liabilities relate</w:t>
      </w:r>
      <w:r w:rsidR="00BE6747" w:rsidRPr="00750F7F">
        <w:rPr>
          <w:rFonts w:ascii="Arial" w:hAnsi="Arial"/>
          <w:b/>
          <w:bCs/>
          <w:i/>
          <w:iCs/>
        </w:rPr>
        <w:t>d</w:t>
      </w:r>
      <w:r w:rsidR="00066E35" w:rsidRPr="00750F7F">
        <w:rPr>
          <w:rFonts w:ascii="Arial" w:hAnsi="Arial"/>
          <w:b/>
          <w:bCs/>
          <w:i/>
          <w:iCs/>
        </w:rPr>
        <w:t xml:space="preserve"> to </w:t>
      </w:r>
      <w:r w:rsidR="00B544FE" w:rsidRPr="00750F7F">
        <w:rPr>
          <w:rFonts w:ascii="Arial" w:hAnsi="Arial"/>
          <w:b/>
          <w:bCs/>
          <w:i/>
          <w:iCs/>
        </w:rPr>
        <w:t>subscription (SBITA) assets.</w:t>
      </w:r>
    </w:p>
    <w:p w14:paraId="270CDD68" w14:textId="77777777" w:rsidR="00B26D47" w:rsidRPr="00D55DDF" w:rsidRDefault="00B26D47">
      <w:pPr>
        <w:jc w:val="both"/>
        <w:rPr>
          <w:rFonts w:ascii="Arial" w:hAnsi="Arial"/>
        </w:rPr>
      </w:pPr>
      <w:r w:rsidRPr="00D55DDF">
        <w:rPr>
          <w:rFonts w:ascii="Arial" w:hAnsi="Arial"/>
        </w:rPr>
        <w:t xml:space="preserve">Plus: Deferred </w:t>
      </w:r>
      <w:r w:rsidRPr="008A70F8">
        <w:rPr>
          <w:rFonts w:ascii="Arial" w:hAnsi="Arial"/>
          <w:u w:val="single"/>
        </w:rPr>
        <w:t>outflows</w:t>
      </w:r>
      <w:r w:rsidRPr="00D55DDF">
        <w:rPr>
          <w:rFonts w:ascii="Arial" w:hAnsi="Arial"/>
        </w:rPr>
        <w:t xml:space="preserve"> of resources attributable </w:t>
      </w:r>
      <w:r w:rsidR="00DE2D05" w:rsidRPr="00D55DDF">
        <w:rPr>
          <w:rFonts w:ascii="Arial" w:hAnsi="Arial"/>
        </w:rPr>
        <w:t>to capital asset acquisition, construction, or improvement</w:t>
      </w:r>
    </w:p>
    <w:p w14:paraId="33969F4C" w14:textId="77777777" w:rsidR="00DE2D05" w:rsidRPr="00D55DDF" w:rsidRDefault="00DE2D05">
      <w:pPr>
        <w:jc w:val="both"/>
        <w:rPr>
          <w:rFonts w:ascii="Arial" w:hAnsi="Arial"/>
        </w:rPr>
      </w:pPr>
      <w:r w:rsidRPr="00D55DDF">
        <w:rPr>
          <w:rFonts w:ascii="Arial" w:hAnsi="Arial"/>
        </w:rPr>
        <w:t xml:space="preserve">Less: Deferred </w:t>
      </w:r>
      <w:r w:rsidRPr="008A70F8">
        <w:rPr>
          <w:rFonts w:ascii="Arial" w:hAnsi="Arial"/>
          <w:u w:val="single"/>
        </w:rPr>
        <w:t>inflows</w:t>
      </w:r>
      <w:r w:rsidRPr="00D55DDF">
        <w:rPr>
          <w:rFonts w:ascii="Arial" w:hAnsi="Arial"/>
        </w:rPr>
        <w:t xml:space="preserve"> of resources attributable to either capital asset acquisition, construction, or improvement or to capital asset related debt</w:t>
      </w:r>
    </w:p>
    <w:p w14:paraId="3469E926" w14:textId="77777777" w:rsidR="00DE2D05" w:rsidRDefault="00DE2D05">
      <w:pPr>
        <w:jc w:val="both"/>
        <w:rPr>
          <w:rFonts w:ascii="Arial" w:hAnsi="Arial"/>
        </w:rPr>
      </w:pPr>
      <w:r w:rsidRPr="00D55DDF">
        <w:rPr>
          <w:rFonts w:ascii="Arial" w:hAnsi="Arial"/>
        </w:rPr>
        <w:t>Equals: Net Investment in Capital Assets</w:t>
      </w:r>
    </w:p>
    <w:p w14:paraId="3B8EB205" w14:textId="77777777" w:rsidR="009C197C" w:rsidRDefault="009C197C">
      <w:pPr>
        <w:jc w:val="both"/>
        <w:rPr>
          <w:rFonts w:ascii="Arial" w:hAnsi="Arial"/>
        </w:rPr>
      </w:pPr>
    </w:p>
    <w:p w14:paraId="5F572928" w14:textId="1B5B6215" w:rsidR="009C197C" w:rsidRDefault="009C197C">
      <w:pPr>
        <w:jc w:val="both"/>
        <w:rPr>
          <w:rFonts w:ascii="Arial" w:hAnsi="Arial"/>
        </w:rPr>
      </w:pPr>
      <w:r>
        <w:rPr>
          <w:rFonts w:ascii="Arial" w:hAnsi="Arial"/>
        </w:rPr>
        <w:lastRenderedPageBreak/>
        <w:t>NOTE</w:t>
      </w:r>
      <w:r w:rsidR="00441078">
        <w:rPr>
          <w:rFonts w:ascii="Arial" w:hAnsi="Arial"/>
        </w:rPr>
        <w:t>: The</w:t>
      </w:r>
      <w:r w:rsidR="009C153F">
        <w:rPr>
          <w:rFonts w:ascii="Arial" w:hAnsi="Arial"/>
        </w:rPr>
        <w:t xml:space="preserve"> calculated balance of net investment in capital assets</w:t>
      </w:r>
      <w:r w:rsidR="00876ED1">
        <w:rPr>
          <w:rFonts w:ascii="Arial" w:hAnsi="Arial"/>
        </w:rPr>
        <w:t xml:space="preserve"> </w:t>
      </w:r>
      <w:r w:rsidR="00876ED1" w:rsidRPr="00441078">
        <w:rPr>
          <w:rFonts w:ascii="Arial" w:hAnsi="Arial"/>
          <w:b/>
          <w:bCs/>
          <w:i/>
          <w:iCs/>
        </w:rPr>
        <w:t>may be negative</w:t>
      </w:r>
      <w:r w:rsidR="00976E35">
        <w:rPr>
          <w:rFonts w:ascii="Arial" w:hAnsi="Arial"/>
        </w:rPr>
        <w:t xml:space="preserve"> in cases where the </w:t>
      </w:r>
      <w:r w:rsidR="002050A1">
        <w:rPr>
          <w:rFonts w:ascii="Arial" w:hAnsi="Arial"/>
        </w:rPr>
        <w:t>capital debt (includ</w:t>
      </w:r>
      <w:r w:rsidR="003F5008">
        <w:rPr>
          <w:rFonts w:ascii="Arial" w:hAnsi="Arial"/>
        </w:rPr>
        <w:t>ing</w:t>
      </w:r>
      <w:r w:rsidR="002050A1">
        <w:rPr>
          <w:rFonts w:ascii="Arial" w:hAnsi="Arial"/>
        </w:rPr>
        <w:t xml:space="preserve"> lease and SBITA liabilities</w:t>
      </w:r>
      <w:r w:rsidR="00177BAF">
        <w:rPr>
          <w:rFonts w:ascii="Arial" w:hAnsi="Arial"/>
        </w:rPr>
        <w:t xml:space="preserve">) exceed the </w:t>
      </w:r>
      <w:r w:rsidR="003A040B">
        <w:rPr>
          <w:rFonts w:ascii="Arial" w:hAnsi="Arial"/>
        </w:rPr>
        <w:t>total capital assets, net of accumulated depreciation.</w:t>
      </w:r>
    </w:p>
    <w:p w14:paraId="668B2D78" w14:textId="77777777" w:rsidR="00CF6B5B" w:rsidRDefault="00CF6B5B">
      <w:pPr>
        <w:jc w:val="both"/>
        <w:rPr>
          <w:rFonts w:ascii="Arial" w:hAnsi="Arial"/>
        </w:rPr>
      </w:pPr>
    </w:p>
    <w:p w14:paraId="5CA62A2B" w14:textId="77777777" w:rsidR="00DE2D05" w:rsidRPr="002C4FB2" w:rsidRDefault="00DE2D05" w:rsidP="002C4FB2">
      <w:pPr>
        <w:pStyle w:val="ListParagraph"/>
        <w:numPr>
          <w:ilvl w:val="0"/>
          <w:numId w:val="39"/>
        </w:numPr>
        <w:jc w:val="both"/>
        <w:rPr>
          <w:rFonts w:ascii="Arial" w:hAnsi="Arial"/>
          <w:sz w:val="20"/>
          <w:szCs w:val="20"/>
        </w:rPr>
      </w:pPr>
      <w:r w:rsidRPr="00D55DDF">
        <w:rPr>
          <w:rFonts w:ascii="Arial" w:hAnsi="Arial"/>
          <w:b/>
          <w:sz w:val="20"/>
          <w:szCs w:val="20"/>
        </w:rPr>
        <w:t>Restricted Net Position</w:t>
      </w:r>
      <w:r w:rsidRPr="00D55DDF">
        <w:rPr>
          <w:rFonts w:ascii="Arial" w:hAnsi="Arial"/>
          <w:sz w:val="20"/>
          <w:szCs w:val="20"/>
        </w:rPr>
        <w:t xml:space="preserve"> should be computed next as follows:</w:t>
      </w:r>
    </w:p>
    <w:p w14:paraId="6DACA6C9" w14:textId="77777777" w:rsidR="002F75B5" w:rsidRPr="00D55DDF" w:rsidRDefault="00DE2D05">
      <w:pPr>
        <w:jc w:val="both"/>
        <w:rPr>
          <w:rFonts w:ascii="Arial" w:hAnsi="Arial"/>
        </w:rPr>
      </w:pPr>
      <w:r w:rsidRPr="00D55DDF">
        <w:rPr>
          <w:rFonts w:ascii="Arial" w:hAnsi="Arial"/>
        </w:rPr>
        <w:t>Restricted Assets</w:t>
      </w:r>
    </w:p>
    <w:p w14:paraId="13874DD4" w14:textId="77777777" w:rsidR="00DE2D05" w:rsidRPr="00D55DDF" w:rsidRDefault="00D55DDF">
      <w:pPr>
        <w:jc w:val="both"/>
        <w:rPr>
          <w:rFonts w:ascii="Arial" w:hAnsi="Arial"/>
        </w:rPr>
      </w:pPr>
      <w:r>
        <w:rPr>
          <w:rFonts w:ascii="Arial" w:hAnsi="Arial"/>
        </w:rPr>
        <w:t>L</w:t>
      </w:r>
      <w:r w:rsidR="00DE2D05" w:rsidRPr="00D55DDF">
        <w:rPr>
          <w:rFonts w:ascii="Arial" w:hAnsi="Arial"/>
        </w:rPr>
        <w:t>ess: Liabilities related to restricted assets</w:t>
      </w:r>
      <w:r w:rsidR="002F75B5">
        <w:rPr>
          <w:rFonts w:ascii="Arial" w:hAnsi="Arial"/>
        </w:rPr>
        <w:t xml:space="preserve"> (including those to be liquidated with restricted assets and/or those arising from the same resource flow that results in restricted assets)</w:t>
      </w:r>
    </w:p>
    <w:p w14:paraId="48C18B91" w14:textId="77777777" w:rsidR="001F685C" w:rsidRPr="00D55DDF" w:rsidRDefault="00DE2D05">
      <w:pPr>
        <w:jc w:val="both"/>
        <w:rPr>
          <w:rFonts w:ascii="Arial" w:hAnsi="Arial"/>
        </w:rPr>
      </w:pPr>
      <w:r w:rsidRPr="00D55DDF">
        <w:rPr>
          <w:rFonts w:ascii="Arial" w:hAnsi="Arial"/>
        </w:rPr>
        <w:t xml:space="preserve">Less: Deferred </w:t>
      </w:r>
      <w:r w:rsidRPr="009F40BD">
        <w:rPr>
          <w:rFonts w:ascii="Arial" w:hAnsi="Arial"/>
          <w:u w:val="single"/>
        </w:rPr>
        <w:t>inflows</w:t>
      </w:r>
      <w:r w:rsidRPr="00D55DDF">
        <w:rPr>
          <w:rFonts w:ascii="Arial" w:hAnsi="Arial"/>
        </w:rPr>
        <w:t xml:space="preserve"> of resources rela</w:t>
      </w:r>
      <w:r w:rsidR="001F685C" w:rsidRPr="00D55DDF">
        <w:rPr>
          <w:rFonts w:ascii="Arial" w:hAnsi="Arial"/>
        </w:rPr>
        <w:t>ted to restricted assets</w:t>
      </w:r>
    </w:p>
    <w:p w14:paraId="44141371" w14:textId="77777777" w:rsidR="00DE2D05" w:rsidRDefault="00DE2D05">
      <w:pPr>
        <w:jc w:val="both"/>
        <w:rPr>
          <w:rFonts w:ascii="Arial" w:hAnsi="Arial"/>
        </w:rPr>
      </w:pPr>
      <w:r w:rsidRPr="00D55DDF">
        <w:rPr>
          <w:rFonts w:ascii="Arial" w:hAnsi="Arial"/>
        </w:rPr>
        <w:t>Equals: Restricted Net Position</w:t>
      </w:r>
    </w:p>
    <w:p w14:paraId="513AA0C1" w14:textId="77777777" w:rsidR="00AE0F7C" w:rsidRDefault="00AE0F7C">
      <w:pPr>
        <w:jc w:val="both"/>
        <w:rPr>
          <w:rFonts w:ascii="Arial" w:hAnsi="Arial"/>
        </w:rPr>
      </w:pPr>
    </w:p>
    <w:p w14:paraId="5135E9A0" w14:textId="77777777" w:rsidR="00AE0F7C" w:rsidRDefault="00AE0F7C">
      <w:pPr>
        <w:jc w:val="both"/>
        <w:rPr>
          <w:rFonts w:ascii="Arial" w:hAnsi="Arial"/>
        </w:rPr>
      </w:pPr>
      <w:r>
        <w:rPr>
          <w:rFonts w:ascii="Arial" w:hAnsi="Arial"/>
        </w:rPr>
        <w:t xml:space="preserve">***Note that deferred </w:t>
      </w:r>
      <w:r w:rsidRPr="009F40BD">
        <w:rPr>
          <w:rFonts w:ascii="Arial" w:hAnsi="Arial"/>
          <w:u w:val="single"/>
        </w:rPr>
        <w:t>outflows</w:t>
      </w:r>
      <w:r>
        <w:rPr>
          <w:rFonts w:ascii="Arial" w:hAnsi="Arial"/>
        </w:rPr>
        <w:t xml:space="preserve"> of resources are not included in restricted net position.</w:t>
      </w:r>
    </w:p>
    <w:p w14:paraId="1C506CFA" w14:textId="77777777" w:rsidR="0091121D" w:rsidRDefault="0091121D">
      <w:pPr>
        <w:jc w:val="both"/>
        <w:rPr>
          <w:rFonts w:ascii="Arial" w:hAnsi="Arial"/>
        </w:rPr>
      </w:pPr>
    </w:p>
    <w:p w14:paraId="3489B546" w14:textId="77777777" w:rsidR="008503D4" w:rsidRDefault="008503D4">
      <w:pPr>
        <w:jc w:val="both"/>
        <w:rPr>
          <w:rFonts w:ascii="Arial" w:hAnsi="Arial"/>
        </w:rPr>
      </w:pPr>
    </w:p>
    <w:p w14:paraId="54718218" w14:textId="338F110B" w:rsidR="0091121D" w:rsidRPr="00D55DDF" w:rsidRDefault="001061FC">
      <w:pPr>
        <w:jc w:val="both"/>
        <w:rPr>
          <w:rFonts w:ascii="Arial" w:hAnsi="Arial"/>
        </w:rPr>
      </w:pPr>
      <w:r>
        <w:rPr>
          <w:rFonts w:ascii="Arial" w:hAnsi="Arial"/>
        </w:rPr>
        <w:t xml:space="preserve">Net </w:t>
      </w:r>
      <w:proofErr w:type="gramStart"/>
      <w:r>
        <w:rPr>
          <w:rFonts w:ascii="Arial" w:hAnsi="Arial"/>
        </w:rPr>
        <w:t>position</w:t>
      </w:r>
      <w:proofErr w:type="gramEnd"/>
      <w:r>
        <w:rPr>
          <w:rFonts w:ascii="Arial" w:hAnsi="Arial"/>
        </w:rPr>
        <w:t xml:space="preserve"> that </w:t>
      </w:r>
      <w:proofErr w:type="gramStart"/>
      <w:r>
        <w:rPr>
          <w:rFonts w:ascii="Arial" w:hAnsi="Arial"/>
        </w:rPr>
        <w:t>is</w:t>
      </w:r>
      <w:proofErr w:type="gramEnd"/>
      <w:r>
        <w:rPr>
          <w:rFonts w:ascii="Arial" w:hAnsi="Arial"/>
        </w:rPr>
        <w:t xml:space="preserve"> restricted should be identified to the appropriate function/purpose using the drop-down box on the worksheet.  </w:t>
      </w:r>
      <w:r w:rsidRPr="00D4119B">
        <w:rPr>
          <w:rFonts w:ascii="Arial" w:hAnsi="Arial"/>
        </w:rPr>
        <w:t xml:space="preserve">The </w:t>
      </w:r>
      <w:r>
        <w:rPr>
          <w:rFonts w:ascii="Arial" w:hAnsi="Arial"/>
        </w:rPr>
        <w:t>‘F</w:t>
      </w:r>
      <w:r w:rsidRPr="00D4119B">
        <w:rPr>
          <w:rFonts w:ascii="Arial" w:hAnsi="Arial"/>
        </w:rPr>
        <w:t>unctional</w:t>
      </w:r>
      <w:r>
        <w:rPr>
          <w:rFonts w:ascii="Arial" w:hAnsi="Arial"/>
        </w:rPr>
        <w:t>’</w:t>
      </w:r>
      <w:r w:rsidRPr="00D4119B">
        <w:rPr>
          <w:rFonts w:ascii="Arial" w:hAnsi="Arial"/>
        </w:rPr>
        <w:t xml:space="preserve"> </w:t>
      </w:r>
      <w:r>
        <w:rPr>
          <w:rFonts w:ascii="Arial" w:hAnsi="Arial"/>
        </w:rPr>
        <w:t>tab</w:t>
      </w:r>
      <w:r w:rsidRPr="00D4119B">
        <w:rPr>
          <w:rFonts w:ascii="Arial" w:hAnsi="Arial"/>
        </w:rPr>
        <w:t xml:space="preserve"> at the end of the </w:t>
      </w:r>
      <w:r w:rsidR="094EC845" w:rsidRPr="27196449">
        <w:rPr>
          <w:rFonts w:ascii="Arial" w:hAnsi="Arial"/>
        </w:rPr>
        <w:t>N</w:t>
      </w:r>
      <w:r w:rsidR="35DC7703" w:rsidRPr="27196449">
        <w:rPr>
          <w:rFonts w:ascii="Arial" w:hAnsi="Arial"/>
        </w:rPr>
        <w:t>CFS</w:t>
      </w:r>
      <w:r w:rsidRPr="00D4119B">
        <w:rPr>
          <w:rFonts w:ascii="Arial" w:hAnsi="Arial"/>
        </w:rPr>
        <w:t xml:space="preserve"> package </w:t>
      </w:r>
      <w:r>
        <w:rPr>
          <w:rFonts w:ascii="Arial" w:hAnsi="Arial"/>
        </w:rPr>
        <w:t xml:space="preserve">lists </w:t>
      </w:r>
      <w:r w:rsidRPr="00D4119B">
        <w:rPr>
          <w:rFonts w:ascii="Arial" w:hAnsi="Arial"/>
        </w:rPr>
        <w:t>function</w:t>
      </w:r>
      <w:r>
        <w:rPr>
          <w:rFonts w:ascii="Arial" w:hAnsi="Arial"/>
        </w:rPr>
        <w:t>s</w:t>
      </w:r>
      <w:r w:rsidRPr="00D4119B">
        <w:rPr>
          <w:rFonts w:ascii="Arial" w:hAnsi="Arial"/>
        </w:rPr>
        <w:t xml:space="preserve"> by FRU and GASB can be used as a guide.</w:t>
      </w:r>
      <w:r>
        <w:rPr>
          <w:rFonts w:ascii="Arial" w:hAnsi="Arial"/>
        </w:rPr>
        <w:t xml:space="preserve">  Contact your OSC analyst for additional guidance.</w:t>
      </w:r>
      <w:r w:rsidRPr="00D4119B">
        <w:rPr>
          <w:rFonts w:ascii="Arial" w:hAnsi="Arial"/>
        </w:rPr>
        <w:t xml:space="preserve"> </w:t>
      </w:r>
      <w:r>
        <w:rPr>
          <w:rFonts w:ascii="Arial" w:hAnsi="Arial"/>
        </w:rPr>
        <w:t xml:space="preserve"> </w:t>
      </w:r>
    </w:p>
    <w:p w14:paraId="2198B34E" w14:textId="47F16726" w:rsidR="00E92CF6" w:rsidRDefault="00E92CF6">
      <w:pPr>
        <w:jc w:val="both"/>
        <w:rPr>
          <w:rFonts w:ascii="Arial" w:hAnsi="Arial"/>
        </w:rPr>
      </w:pPr>
    </w:p>
    <w:p w14:paraId="7A236FFA" w14:textId="77777777" w:rsidR="001F685C" w:rsidRPr="002C4FB2" w:rsidRDefault="00E92CF6" w:rsidP="002C4FB2">
      <w:pPr>
        <w:pStyle w:val="ListParagraph"/>
        <w:numPr>
          <w:ilvl w:val="0"/>
          <w:numId w:val="39"/>
        </w:numPr>
        <w:jc w:val="both"/>
        <w:rPr>
          <w:rFonts w:ascii="Arial" w:hAnsi="Arial"/>
          <w:sz w:val="20"/>
          <w:szCs w:val="20"/>
        </w:rPr>
      </w:pPr>
      <w:r w:rsidRPr="00D55DDF">
        <w:rPr>
          <w:rFonts w:ascii="Arial" w:hAnsi="Arial"/>
          <w:b/>
          <w:sz w:val="20"/>
          <w:szCs w:val="20"/>
        </w:rPr>
        <w:t>Unrestricted Net Position</w:t>
      </w:r>
      <w:r w:rsidRPr="00D55DDF">
        <w:rPr>
          <w:rFonts w:ascii="Arial" w:hAnsi="Arial"/>
          <w:sz w:val="20"/>
          <w:szCs w:val="20"/>
        </w:rPr>
        <w:t xml:space="preserve"> is the residual amount that should be calculated last as follows:</w:t>
      </w:r>
    </w:p>
    <w:p w14:paraId="3C8BD650" w14:textId="77777777" w:rsidR="00E92CF6" w:rsidRPr="00D55DDF" w:rsidRDefault="00E92CF6">
      <w:pPr>
        <w:jc w:val="both"/>
        <w:rPr>
          <w:rFonts w:ascii="Arial" w:hAnsi="Arial"/>
        </w:rPr>
      </w:pPr>
      <w:r w:rsidRPr="00D55DDF">
        <w:rPr>
          <w:rFonts w:ascii="Arial" w:hAnsi="Arial"/>
        </w:rPr>
        <w:t>Total Net position</w:t>
      </w:r>
    </w:p>
    <w:p w14:paraId="5BA984B7" w14:textId="77777777" w:rsidR="00E92CF6" w:rsidRPr="00D55DDF" w:rsidRDefault="00E92CF6">
      <w:pPr>
        <w:jc w:val="both"/>
        <w:rPr>
          <w:rFonts w:ascii="Arial" w:hAnsi="Arial"/>
        </w:rPr>
      </w:pPr>
      <w:r w:rsidRPr="00D55DDF">
        <w:rPr>
          <w:rFonts w:ascii="Arial" w:hAnsi="Arial"/>
        </w:rPr>
        <w:t xml:space="preserve">Less: Net </w:t>
      </w:r>
      <w:r w:rsidR="001F685C" w:rsidRPr="00D55DDF">
        <w:rPr>
          <w:rFonts w:ascii="Arial" w:hAnsi="Arial"/>
        </w:rPr>
        <w:t>I</w:t>
      </w:r>
      <w:r w:rsidRPr="00D55DDF">
        <w:rPr>
          <w:rFonts w:ascii="Arial" w:hAnsi="Arial"/>
        </w:rPr>
        <w:t xml:space="preserve">nvestment in </w:t>
      </w:r>
      <w:r w:rsidR="001F685C" w:rsidRPr="00D55DDF">
        <w:rPr>
          <w:rFonts w:ascii="Arial" w:hAnsi="Arial"/>
        </w:rPr>
        <w:t>C</w:t>
      </w:r>
      <w:r w:rsidRPr="00D55DDF">
        <w:rPr>
          <w:rFonts w:ascii="Arial" w:hAnsi="Arial"/>
        </w:rPr>
        <w:t xml:space="preserve">apital </w:t>
      </w:r>
      <w:r w:rsidR="001F685C" w:rsidRPr="00D55DDF">
        <w:rPr>
          <w:rFonts w:ascii="Arial" w:hAnsi="Arial"/>
        </w:rPr>
        <w:t>A</w:t>
      </w:r>
      <w:r w:rsidRPr="00D55DDF">
        <w:rPr>
          <w:rFonts w:ascii="Arial" w:hAnsi="Arial"/>
        </w:rPr>
        <w:t>ssets</w:t>
      </w:r>
    </w:p>
    <w:p w14:paraId="11554F87" w14:textId="77777777" w:rsidR="00D976DF" w:rsidRDefault="00E92CF6">
      <w:pPr>
        <w:jc w:val="both"/>
        <w:rPr>
          <w:rFonts w:ascii="Arial" w:hAnsi="Arial"/>
        </w:rPr>
      </w:pPr>
      <w:r w:rsidRPr="00D55DDF">
        <w:rPr>
          <w:rFonts w:ascii="Arial" w:hAnsi="Arial"/>
        </w:rPr>
        <w:t xml:space="preserve">Less: Restricted </w:t>
      </w:r>
      <w:r w:rsidR="001F685C" w:rsidRPr="00D55DDF">
        <w:rPr>
          <w:rFonts w:ascii="Arial" w:hAnsi="Arial"/>
        </w:rPr>
        <w:t>Net Position</w:t>
      </w:r>
    </w:p>
    <w:p w14:paraId="10D8A8DD" w14:textId="77777777" w:rsidR="001F685C" w:rsidRPr="00D55DDF" w:rsidRDefault="001F685C">
      <w:pPr>
        <w:jc w:val="both"/>
        <w:rPr>
          <w:rFonts w:ascii="Arial" w:hAnsi="Arial"/>
        </w:rPr>
      </w:pPr>
      <w:r w:rsidRPr="00D55DDF">
        <w:rPr>
          <w:rFonts w:ascii="Arial" w:hAnsi="Arial"/>
        </w:rPr>
        <w:t>Equals: Unrestricted Net Position</w:t>
      </w:r>
    </w:p>
    <w:p w14:paraId="62D2F050" w14:textId="77777777" w:rsidR="00DE2D05" w:rsidRDefault="00DE2D05">
      <w:pPr>
        <w:jc w:val="both"/>
        <w:rPr>
          <w:rFonts w:ascii="Arial" w:hAnsi="Arial"/>
        </w:rPr>
      </w:pPr>
    </w:p>
    <w:p w14:paraId="515A1895" w14:textId="69C49C9E" w:rsidR="00123250" w:rsidRDefault="00DE2D05">
      <w:pPr>
        <w:jc w:val="both"/>
        <w:rPr>
          <w:rFonts w:ascii="Arial" w:hAnsi="Arial"/>
        </w:rPr>
      </w:pPr>
      <w:r>
        <w:rPr>
          <w:rFonts w:ascii="Arial" w:hAnsi="Arial"/>
        </w:rPr>
        <w:t>In completing</w:t>
      </w:r>
      <w:r w:rsidR="004E46A3" w:rsidRPr="009C4576">
        <w:rPr>
          <w:rFonts w:ascii="Arial" w:hAnsi="Arial"/>
        </w:rPr>
        <w:t xml:space="preserve"> worksheet</w:t>
      </w:r>
      <w:r>
        <w:rPr>
          <w:rFonts w:ascii="Arial" w:hAnsi="Arial"/>
        </w:rPr>
        <w:t xml:space="preserve"> 420</w:t>
      </w:r>
      <w:r w:rsidR="004E46A3" w:rsidRPr="009C4576">
        <w:rPr>
          <w:rFonts w:ascii="Arial" w:hAnsi="Arial"/>
        </w:rPr>
        <w:t xml:space="preserve">, each agency should ensure that the total net </w:t>
      </w:r>
      <w:r w:rsidR="00421C38" w:rsidRPr="009C4576">
        <w:rPr>
          <w:rFonts w:ascii="Arial" w:hAnsi="Arial"/>
        </w:rPr>
        <w:t>position</w:t>
      </w:r>
      <w:r w:rsidR="00C02B5E">
        <w:rPr>
          <w:rFonts w:ascii="Arial" w:hAnsi="Arial"/>
        </w:rPr>
        <w:t xml:space="preserve"> agr</w:t>
      </w:r>
      <w:r w:rsidR="004E46A3" w:rsidRPr="009C4576">
        <w:rPr>
          <w:rFonts w:ascii="Arial" w:hAnsi="Arial"/>
        </w:rPr>
        <w:t>ee</w:t>
      </w:r>
      <w:r w:rsidR="00C02B5E">
        <w:rPr>
          <w:rFonts w:ascii="Arial" w:hAnsi="Arial"/>
        </w:rPr>
        <w:t>s</w:t>
      </w:r>
      <w:r w:rsidR="004E46A3" w:rsidRPr="009C4576">
        <w:rPr>
          <w:rFonts w:ascii="Arial" w:hAnsi="Arial"/>
        </w:rPr>
        <w:t xml:space="preserve"> with the total net </w:t>
      </w:r>
      <w:r w:rsidR="00421C38" w:rsidRPr="009C4576">
        <w:rPr>
          <w:rFonts w:ascii="Arial" w:hAnsi="Arial"/>
        </w:rPr>
        <w:t>position</w:t>
      </w:r>
      <w:r w:rsidR="00AB4F7F" w:rsidRPr="009C4576">
        <w:rPr>
          <w:rFonts w:ascii="Arial" w:hAnsi="Arial"/>
        </w:rPr>
        <w:t xml:space="preserve"> reported on the</w:t>
      </w:r>
      <w:r w:rsidR="00D84E4C">
        <w:rPr>
          <w:rFonts w:ascii="Arial" w:hAnsi="Arial"/>
        </w:rPr>
        <w:t xml:space="preserve"> </w:t>
      </w:r>
      <w:r w:rsidR="00AB4F7F" w:rsidRPr="009C4576">
        <w:rPr>
          <w:rFonts w:ascii="Arial" w:hAnsi="Arial"/>
        </w:rPr>
        <w:t>11P</w:t>
      </w:r>
      <w:r w:rsidR="00AB4F7F">
        <w:rPr>
          <w:rFonts w:ascii="Arial" w:hAnsi="Arial"/>
        </w:rPr>
        <w:t xml:space="preserve"> and the </w:t>
      </w:r>
      <w:r w:rsidR="00C02B5E">
        <w:rPr>
          <w:rFonts w:ascii="Arial" w:hAnsi="Arial"/>
        </w:rPr>
        <w:t>n</w:t>
      </w:r>
      <w:r w:rsidR="00421C38">
        <w:rPr>
          <w:rFonts w:ascii="Arial" w:hAnsi="Arial"/>
        </w:rPr>
        <w:t xml:space="preserve">et </w:t>
      </w:r>
      <w:r w:rsidR="00AB4F7F">
        <w:rPr>
          <w:rFonts w:ascii="Arial" w:hAnsi="Arial"/>
        </w:rPr>
        <w:t>invest</w:t>
      </w:r>
      <w:r w:rsidR="00D22F5D">
        <w:rPr>
          <w:rFonts w:ascii="Arial" w:hAnsi="Arial"/>
        </w:rPr>
        <w:t>ment</w:t>
      </w:r>
      <w:r w:rsidR="00AB4F7F">
        <w:rPr>
          <w:rFonts w:ascii="Arial" w:hAnsi="Arial"/>
        </w:rPr>
        <w:t xml:space="preserve"> in cap</w:t>
      </w:r>
      <w:r w:rsidR="00421C38">
        <w:rPr>
          <w:rFonts w:ascii="Arial" w:hAnsi="Arial"/>
        </w:rPr>
        <w:t>ital assets</w:t>
      </w:r>
      <w:r w:rsidR="00AB4F7F">
        <w:rPr>
          <w:rFonts w:ascii="Arial" w:hAnsi="Arial"/>
        </w:rPr>
        <w:t xml:space="preserve"> balance should not exceed the balance for </w:t>
      </w:r>
      <w:r w:rsidR="00C02B5E">
        <w:rPr>
          <w:rFonts w:ascii="Arial" w:hAnsi="Arial"/>
        </w:rPr>
        <w:t>t</w:t>
      </w:r>
      <w:r w:rsidR="00384E8F">
        <w:rPr>
          <w:rFonts w:ascii="Arial" w:hAnsi="Arial"/>
        </w:rPr>
        <w:t>otal capital assets, net</w:t>
      </w:r>
      <w:r w:rsidR="00C25702">
        <w:rPr>
          <w:rFonts w:ascii="Arial" w:hAnsi="Arial"/>
        </w:rPr>
        <w:t>.</w:t>
      </w:r>
      <w:r w:rsidR="005808F4">
        <w:rPr>
          <w:rFonts w:ascii="Arial" w:hAnsi="Arial"/>
        </w:rPr>
        <w:t xml:space="preserve"> </w:t>
      </w:r>
      <w:r w:rsidR="00C02B5E">
        <w:rPr>
          <w:rFonts w:ascii="Arial" w:hAnsi="Arial"/>
        </w:rPr>
        <w:t xml:space="preserve"> </w:t>
      </w:r>
      <w:r w:rsidR="00AB4F7F">
        <w:rPr>
          <w:rFonts w:ascii="Arial" w:hAnsi="Arial"/>
        </w:rPr>
        <w:t xml:space="preserve">If the agency has not </w:t>
      </w:r>
      <w:r w:rsidR="0031312B">
        <w:rPr>
          <w:rFonts w:ascii="Arial" w:hAnsi="Arial"/>
        </w:rPr>
        <w:t>issued debt</w:t>
      </w:r>
      <w:r w:rsidR="00714FFD">
        <w:rPr>
          <w:rFonts w:ascii="Arial" w:hAnsi="Arial"/>
        </w:rPr>
        <w:t xml:space="preserve"> </w:t>
      </w:r>
      <w:r>
        <w:rPr>
          <w:rFonts w:ascii="Arial" w:hAnsi="Arial"/>
        </w:rPr>
        <w:t>and does not have any deferred outflows or inflows attributable to capital asset acquisition, construction, or improvement</w:t>
      </w:r>
      <w:r w:rsidR="00C02B5E">
        <w:rPr>
          <w:rFonts w:ascii="Arial" w:hAnsi="Arial"/>
        </w:rPr>
        <w:t>;</w:t>
      </w:r>
      <w:r>
        <w:rPr>
          <w:rFonts w:ascii="Arial" w:hAnsi="Arial"/>
        </w:rPr>
        <w:t xml:space="preserve"> or to capital asset related debt, </w:t>
      </w:r>
      <w:r w:rsidR="0031312B">
        <w:rPr>
          <w:rFonts w:ascii="Arial" w:hAnsi="Arial"/>
        </w:rPr>
        <w:t xml:space="preserve">then the </w:t>
      </w:r>
      <w:r w:rsidR="00C02B5E">
        <w:rPr>
          <w:rFonts w:ascii="Arial" w:hAnsi="Arial"/>
        </w:rPr>
        <w:t>n</w:t>
      </w:r>
      <w:r w:rsidR="00421C38">
        <w:rPr>
          <w:rFonts w:ascii="Arial" w:hAnsi="Arial"/>
        </w:rPr>
        <w:t xml:space="preserve">et </w:t>
      </w:r>
      <w:r w:rsidR="0031312B">
        <w:rPr>
          <w:rFonts w:ascii="Arial" w:hAnsi="Arial"/>
        </w:rPr>
        <w:t>invest</w:t>
      </w:r>
      <w:r w:rsidR="00D22F5D">
        <w:rPr>
          <w:rFonts w:ascii="Arial" w:hAnsi="Arial"/>
        </w:rPr>
        <w:t xml:space="preserve">ment </w:t>
      </w:r>
      <w:r w:rsidR="00AB4F7F">
        <w:rPr>
          <w:rFonts w:ascii="Arial" w:hAnsi="Arial"/>
        </w:rPr>
        <w:t xml:space="preserve">in capital assets balance should equal the balance for </w:t>
      </w:r>
      <w:r w:rsidR="00C02B5E">
        <w:rPr>
          <w:rFonts w:ascii="Arial" w:hAnsi="Arial"/>
        </w:rPr>
        <w:t>t</w:t>
      </w:r>
      <w:r w:rsidR="00AB4F7F">
        <w:rPr>
          <w:rFonts w:ascii="Arial" w:hAnsi="Arial"/>
        </w:rPr>
        <w:t>otal capital assets</w:t>
      </w:r>
      <w:r w:rsidR="00384E8F">
        <w:rPr>
          <w:rFonts w:ascii="Arial" w:hAnsi="Arial"/>
        </w:rPr>
        <w:t>, net</w:t>
      </w:r>
      <w:r w:rsidR="00C02B5E">
        <w:rPr>
          <w:rFonts w:ascii="Arial" w:hAnsi="Arial"/>
        </w:rPr>
        <w:t xml:space="preserve"> (</w:t>
      </w:r>
      <w:r w:rsidR="00C25702">
        <w:rPr>
          <w:rFonts w:ascii="Arial" w:hAnsi="Arial"/>
        </w:rPr>
        <w:t xml:space="preserve">which is the sum of </w:t>
      </w:r>
      <w:r w:rsidR="00C02B5E">
        <w:rPr>
          <w:rFonts w:ascii="Arial" w:hAnsi="Arial"/>
        </w:rPr>
        <w:t>c</w:t>
      </w:r>
      <w:r w:rsidR="00C25702">
        <w:rPr>
          <w:rFonts w:ascii="Arial" w:hAnsi="Arial"/>
        </w:rPr>
        <w:t>apital assets-</w:t>
      </w:r>
      <w:proofErr w:type="spellStart"/>
      <w:r w:rsidR="00C25702">
        <w:rPr>
          <w:rFonts w:ascii="Arial" w:hAnsi="Arial"/>
        </w:rPr>
        <w:t>nondepreciable</w:t>
      </w:r>
      <w:proofErr w:type="spellEnd"/>
      <w:r w:rsidR="00C25702">
        <w:rPr>
          <w:rFonts w:ascii="Arial" w:hAnsi="Arial"/>
        </w:rPr>
        <w:t xml:space="preserve"> plus </w:t>
      </w:r>
      <w:r w:rsidR="00C02B5E">
        <w:rPr>
          <w:rFonts w:ascii="Arial" w:hAnsi="Arial"/>
        </w:rPr>
        <w:t>c</w:t>
      </w:r>
      <w:r w:rsidR="00C25702">
        <w:rPr>
          <w:rFonts w:ascii="Arial" w:hAnsi="Arial"/>
        </w:rPr>
        <w:t>apital assets-depreciable, net</w:t>
      </w:r>
      <w:r w:rsidR="00C02B5E">
        <w:rPr>
          <w:rFonts w:ascii="Arial" w:hAnsi="Arial"/>
        </w:rPr>
        <w:t>)</w:t>
      </w:r>
      <w:r w:rsidR="00AB4F7F">
        <w:rPr>
          <w:rFonts w:ascii="Arial" w:hAnsi="Arial"/>
        </w:rPr>
        <w:t>.</w:t>
      </w:r>
    </w:p>
    <w:p w14:paraId="75C53D30" w14:textId="77777777" w:rsidR="00ED1BBE" w:rsidRDefault="00ED1BBE">
      <w:pPr>
        <w:jc w:val="both"/>
        <w:rPr>
          <w:rFonts w:ascii="Arial" w:hAnsi="Arial"/>
        </w:rPr>
      </w:pPr>
    </w:p>
    <w:p w14:paraId="6376A2E9" w14:textId="77777777" w:rsidR="00994000" w:rsidRDefault="00994000">
      <w:pPr>
        <w:jc w:val="both"/>
        <w:rPr>
          <w:rFonts w:ascii="Arial" w:hAnsi="Arial"/>
        </w:rPr>
      </w:pPr>
    </w:p>
    <w:p w14:paraId="1EDAC683" w14:textId="77777777" w:rsidR="00994000" w:rsidRDefault="00994000">
      <w:pPr>
        <w:jc w:val="both"/>
        <w:rPr>
          <w:rFonts w:ascii="Arial" w:hAnsi="Arial"/>
        </w:rPr>
      </w:pPr>
    </w:p>
    <w:p w14:paraId="095F3AA3" w14:textId="5954A214" w:rsidR="00ED1BBE" w:rsidRPr="002E27E0" w:rsidRDefault="00ED1BBE">
      <w:pPr>
        <w:jc w:val="both"/>
        <w:rPr>
          <w:rFonts w:ascii="Arial" w:hAnsi="Arial"/>
          <w:i/>
          <w:iCs/>
          <w:u w:val="single"/>
        </w:rPr>
      </w:pPr>
      <w:r>
        <w:rPr>
          <w:rFonts w:ascii="Arial" w:hAnsi="Arial"/>
        </w:rPr>
        <w:t xml:space="preserve">NOTE: </w:t>
      </w:r>
      <w:r w:rsidR="00D37BF7">
        <w:rPr>
          <w:rFonts w:ascii="Arial" w:hAnsi="Arial"/>
        </w:rPr>
        <w:t>Complete the</w:t>
      </w:r>
      <w:r w:rsidR="001C5EED">
        <w:rPr>
          <w:rFonts w:ascii="Arial" w:hAnsi="Arial"/>
        </w:rPr>
        <w:t xml:space="preserve"> 420 Narrative </w:t>
      </w:r>
      <w:r w:rsidR="00D37BF7">
        <w:rPr>
          <w:rFonts w:ascii="Arial" w:hAnsi="Arial"/>
        </w:rPr>
        <w:t>for each</w:t>
      </w:r>
      <w:r w:rsidR="00AE0482">
        <w:rPr>
          <w:rFonts w:ascii="Arial" w:hAnsi="Arial"/>
        </w:rPr>
        <w:t xml:space="preserve"> re</w:t>
      </w:r>
      <w:r w:rsidR="00D61875">
        <w:rPr>
          <w:rFonts w:ascii="Arial" w:hAnsi="Arial"/>
        </w:rPr>
        <w:t>stricted designation</w:t>
      </w:r>
      <w:r w:rsidR="008F3573">
        <w:rPr>
          <w:rFonts w:ascii="Arial" w:hAnsi="Arial"/>
        </w:rPr>
        <w:t xml:space="preserve">, providing an explanation for </w:t>
      </w:r>
      <w:r w:rsidR="0065107A">
        <w:rPr>
          <w:rFonts w:ascii="Arial" w:hAnsi="Arial"/>
        </w:rPr>
        <w:t>the calculation and reason for the restriction</w:t>
      </w:r>
      <w:r w:rsidR="002E247F" w:rsidRPr="002E27E0">
        <w:rPr>
          <w:rFonts w:ascii="Arial" w:hAnsi="Arial"/>
          <w:i/>
          <w:iCs/>
        </w:rPr>
        <w:t xml:space="preserve">.  </w:t>
      </w:r>
      <w:r w:rsidR="00D42EDF" w:rsidRPr="002E27E0">
        <w:rPr>
          <w:rFonts w:ascii="Arial" w:hAnsi="Arial"/>
          <w:b/>
          <w:bCs/>
          <w:i/>
          <w:iCs/>
          <w:u w:val="single"/>
        </w:rPr>
        <w:t>T</w:t>
      </w:r>
      <w:r w:rsidR="000228A5" w:rsidRPr="002E27E0">
        <w:rPr>
          <w:rFonts w:ascii="Arial" w:hAnsi="Arial"/>
          <w:b/>
          <w:bCs/>
          <w:i/>
          <w:iCs/>
          <w:u w:val="single"/>
        </w:rPr>
        <w:t>he</w:t>
      </w:r>
      <w:r w:rsidR="00FA3BBD" w:rsidRPr="002E27E0">
        <w:rPr>
          <w:rFonts w:ascii="Arial" w:hAnsi="Arial"/>
          <w:b/>
          <w:bCs/>
          <w:i/>
          <w:iCs/>
          <w:u w:val="single"/>
        </w:rPr>
        <w:t xml:space="preserve"> 420 Narrative</w:t>
      </w:r>
      <w:r w:rsidR="009A0DF4" w:rsidRPr="002E27E0">
        <w:rPr>
          <w:rFonts w:ascii="Arial" w:hAnsi="Arial"/>
          <w:b/>
          <w:bCs/>
          <w:i/>
          <w:iCs/>
          <w:u w:val="single"/>
        </w:rPr>
        <w:t xml:space="preserve"> should</w:t>
      </w:r>
      <w:r w:rsidR="00833D3E" w:rsidRPr="002E27E0">
        <w:rPr>
          <w:rFonts w:ascii="Arial" w:hAnsi="Arial"/>
          <w:b/>
          <w:bCs/>
          <w:i/>
          <w:iCs/>
          <w:u w:val="single"/>
        </w:rPr>
        <w:t xml:space="preserve"> </w:t>
      </w:r>
      <w:r w:rsidR="0074667B" w:rsidRPr="002E27E0">
        <w:rPr>
          <w:rFonts w:ascii="Arial" w:hAnsi="Arial"/>
          <w:b/>
          <w:bCs/>
          <w:i/>
          <w:iCs/>
          <w:u w:val="single"/>
        </w:rPr>
        <w:t>also provide</w:t>
      </w:r>
      <w:r w:rsidR="00645495" w:rsidRPr="002E27E0">
        <w:rPr>
          <w:rFonts w:ascii="Arial" w:hAnsi="Arial"/>
          <w:b/>
          <w:bCs/>
          <w:i/>
          <w:iCs/>
          <w:u w:val="single"/>
        </w:rPr>
        <w:t xml:space="preserve"> </w:t>
      </w:r>
      <w:r w:rsidR="00357311" w:rsidRPr="002E27E0">
        <w:rPr>
          <w:rFonts w:ascii="Arial" w:hAnsi="Arial"/>
          <w:b/>
          <w:bCs/>
          <w:i/>
          <w:iCs/>
          <w:u w:val="single"/>
        </w:rPr>
        <w:t>the</w:t>
      </w:r>
      <w:r w:rsidR="00C509F7" w:rsidRPr="002E27E0">
        <w:rPr>
          <w:rFonts w:ascii="Arial" w:hAnsi="Arial"/>
          <w:b/>
          <w:bCs/>
          <w:i/>
          <w:iCs/>
          <w:u w:val="single"/>
        </w:rPr>
        <w:t xml:space="preserve"> calculation </w:t>
      </w:r>
      <w:r w:rsidR="00A670D4" w:rsidRPr="002E27E0">
        <w:rPr>
          <w:rFonts w:ascii="Arial" w:hAnsi="Arial"/>
          <w:b/>
          <w:bCs/>
          <w:i/>
          <w:iCs/>
          <w:u w:val="single"/>
        </w:rPr>
        <w:t xml:space="preserve">of </w:t>
      </w:r>
      <w:r w:rsidR="00EA5B61" w:rsidRPr="002E27E0">
        <w:rPr>
          <w:rFonts w:ascii="Arial" w:hAnsi="Arial"/>
          <w:b/>
          <w:bCs/>
          <w:i/>
          <w:iCs/>
          <w:u w:val="single"/>
        </w:rPr>
        <w:t>Net Investment in Capital Assets</w:t>
      </w:r>
      <w:r w:rsidR="00A670D4" w:rsidRPr="002E27E0">
        <w:rPr>
          <w:rFonts w:ascii="Arial" w:hAnsi="Arial"/>
          <w:b/>
          <w:bCs/>
          <w:i/>
          <w:iCs/>
          <w:u w:val="single"/>
        </w:rPr>
        <w:t>, including</w:t>
      </w:r>
      <w:r w:rsidR="00DE3F87" w:rsidRPr="002E27E0">
        <w:rPr>
          <w:rFonts w:ascii="Arial" w:hAnsi="Arial"/>
          <w:b/>
          <w:bCs/>
          <w:i/>
          <w:iCs/>
          <w:u w:val="single"/>
        </w:rPr>
        <w:t xml:space="preserve"> the various</w:t>
      </w:r>
      <w:r w:rsidR="00A670D4" w:rsidRPr="002E27E0">
        <w:rPr>
          <w:rFonts w:ascii="Arial" w:hAnsi="Arial"/>
          <w:b/>
          <w:bCs/>
          <w:i/>
          <w:iCs/>
          <w:u w:val="single"/>
        </w:rPr>
        <w:t xml:space="preserve"> component</w:t>
      </w:r>
      <w:r w:rsidR="00DE3F87" w:rsidRPr="002E27E0">
        <w:rPr>
          <w:rFonts w:ascii="Arial" w:hAnsi="Arial"/>
          <w:b/>
          <w:bCs/>
          <w:i/>
          <w:iCs/>
          <w:u w:val="single"/>
        </w:rPr>
        <w:t>s of</w:t>
      </w:r>
      <w:r w:rsidR="00AF51C0" w:rsidRPr="002E27E0">
        <w:rPr>
          <w:rFonts w:ascii="Arial" w:hAnsi="Arial"/>
          <w:b/>
          <w:bCs/>
          <w:i/>
          <w:iCs/>
          <w:u w:val="single"/>
        </w:rPr>
        <w:t xml:space="preserve"> </w:t>
      </w:r>
      <w:r w:rsidR="00F50A86" w:rsidRPr="002E27E0">
        <w:rPr>
          <w:rFonts w:ascii="Arial" w:hAnsi="Arial"/>
          <w:b/>
          <w:bCs/>
          <w:i/>
          <w:iCs/>
          <w:u w:val="single"/>
        </w:rPr>
        <w:t>the calculation</w:t>
      </w:r>
      <w:r w:rsidR="00D42EDF" w:rsidRPr="002E27E0">
        <w:rPr>
          <w:rFonts w:ascii="Arial" w:hAnsi="Arial"/>
          <w:b/>
          <w:bCs/>
          <w:i/>
          <w:iCs/>
          <w:u w:val="single"/>
        </w:rPr>
        <w:t>.</w:t>
      </w:r>
      <w:r w:rsidR="00154E58" w:rsidRPr="002E27E0">
        <w:rPr>
          <w:rFonts w:ascii="Arial" w:hAnsi="Arial"/>
          <w:i/>
          <w:iCs/>
          <w:u w:val="single"/>
        </w:rPr>
        <w:t xml:space="preserve"> </w:t>
      </w:r>
    </w:p>
    <w:p w14:paraId="086DFF13" w14:textId="77777777" w:rsidR="00123250" w:rsidRDefault="00123250">
      <w:pPr>
        <w:jc w:val="both"/>
        <w:rPr>
          <w:rFonts w:ascii="Arial" w:hAnsi="Arial"/>
        </w:rPr>
      </w:pPr>
    </w:p>
    <w:p w14:paraId="7EDF2170" w14:textId="60CD5FA2" w:rsidR="004E46A3" w:rsidRDefault="004E46A3">
      <w:pPr>
        <w:pStyle w:val="Heading3"/>
        <w:spacing w:line="240" w:lineRule="auto"/>
        <w:jc w:val="left"/>
        <w:rPr>
          <w:rFonts w:ascii="Arial" w:hAnsi="Arial"/>
          <w:u w:val="single"/>
        </w:rPr>
      </w:pPr>
      <w:r>
        <w:rPr>
          <w:rFonts w:ascii="Arial" w:hAnsi="Arial"/>
          <w:u w:val="single"/>
        </w:rPr>
        <w:t>Restatement</w:t>
      </w:r>
      <w:r w:rsidR="00776A06">
        <w:rPr>
          <w:rFonts w:ascii="Arial" w:hAnsi="Arial"/>
          <w:u w:val="single"/>
          <w:lang w:val="en-US"/>
        </w:rPr>
        <w:t xml:space="preserve">s, </w:t>
      </w:r>
      <w:r w:rsidR="00776A06" w:rsidRPr="00776A06">
        <w:rPr>
          <w:rFonts w:ascii="Arial" w:hAnsi="Arial"/>
          <w:sz w:val="22"/>
          <w:szCs w:val="22"/>
          <w:u w:val="single"/>
          <w:lang w:val="en-US"/>
        </w:rPr>
        <w:t>Part 1 of 2 for fund equity</w:t>
      </w:r>
      <w:r>
        <w:rPr>
          <w:rFonts w:ascii="Arial" w:hAnsi="Arial"/>
          <w:u w:val="single"/>
        </w:rPr>
        <w:t xml:space="preserve"> (</w:t>
      </w:r>
      <w:r>
        <w:rPr>
          <w:rFonts w:ascii="Arial" w:hAnsi="Arial"/>
          <w:smallCaps w:val="0"/>
          <w:u w:val="single"/>
        </w:rPr>
        <w:t>430</w:t>
      </w:r>
      <w:r w:rsidR="00D31D6C">
        <w:rPr>
          <w:rFonts w:ascii="Arial" w:hAnsi="Arial"/>
          <w:smallCaps w:val="0"/>
          <w:u w:val="single"/>
          <w:lang w:val="en-US"/>
        </w:rPr>
        <w:t>G</w:t>
      </w:r>
      <w:r w:rsidR="003A4C28">
        <w:rPr>
          <w:rFonts w:ascii="Arial" w:hAnsi="Arial"/>
          <w:smallCaps w:val="0"/>
          <w:u w:val="single"/>
          <w:lang w:val="en-US"/>
        </w:rPr>
        <w:t>,</w:t>
      </w:r>
      <w:r w:rsidR="00D31D6C">
        <w:rPr>
          <w:rFonts w:ascii="Arial" w:hAnsi="Arial"/>
          <w:smallCaps w:val="0"/>
          <w:u w:val="single"/>
          <w:lang w:val="en-US"/>
        </w:rPr>
        <w:t xml:space="preserve"> 430BTA</w:t>
      </w:r>
      <w:r w:rsidR="0078681C">
        <w:rPr>
          <w:rFonts w:ascii="Arial" w:hAnsi="Arial"/>
          <w:smallCaps w:val="0"/>
          <w:u w:val="single"/>
          <w:lang w:val="en-US"/>
        </w:rPr>
        <w:t xml:space="preserve">, </w:t>
      </w:r>
      <w:r w:rsidR="003A4C28">
        <w:rPr>
          <w:rFonts w:ascii="Arial" w:hAnsi="Arial"/>
          <w:smallCaps w:val="0"/>
          <w:u w:val="single"/>
          <w:lang w:val="en-US"/>
        </w:rPr>
        <w:t>and 430F</w:t>
      </w:r>
      <w:r>
        <w:rPr>
          <w:rFonts w:ascii="Arial" w:hAnsi="Arial"/>
          <w:u w:val="single"/>
        </w:rPr>
        <w:t>)</w:t>
      </w:r>
    </w:p>
    <w:p w14:paraId="5112C5F7" w14:textId="77777777" w:rsidR="004E46A3" w:rsidRDefault="004E46A3">
      <w:pPr>
        <w:jc w:val="both"/>
        <w:rPr>
          <w:rFonts w:ascii="Arial" w:hAnsi="Arial"/>
        </w:rPr>
      </w:pPr>
    </w:p>
    <w:p w14:paraId="58416D5F" w14:textId="0502C7AF" w:rsidR="00E31A4B" w:rsidRDefault="000433F8" w:rsidP="00C678EA">
      <w:pPr>
        <w:jc w:val="both"/>
        <w:rPr>
          <w:rFonts w:ascii="Arial" w:hAnsi="Arial"/>
        </w:rPr>
      </w:pPr>
      <w:r>
        <w:rPr>
          <w:rFonts w:ascii="Arial" w:hAnsi="Arial"/>
        </w:rPr>
        <w:t>Separately r</w:t>
      </w:r>
      <w:r w:rsidR="004E46A3">
        <w:rPr>
          <w:rFonts w:ascii="Arial" w:hAnsi="Arial"/>
        </w:rPr>
        <w:t xml:space="preserve">eport restatements due to </w:t>
      </w:r>
      <w:r w:rsidR="00F213E9">
        <w:rPr>
          <w:rFonts w:ascii="Arial" w:hAnsi="Arial"/>
        </w:rPr>
        <w:t>GASB</w:t>
      </w:r>
      <w:r w:rsidR="004E46A3">
        <w:rPr>
          <w:rFonts w:ascii="Arial" w:hAnsi="Arial"/>
        </w:rPr>
        <w:t xml:space="preserve"> reclassifications</w:t>
      </w:r>
      <w:r w:rsidR="00176074">
        <w:rPr>
          <w:rFonts w:ascii="Arial" w:hAnsi="Arial"/>
        </w:rPr>
        <w:t xml:space="preserve"> (OSC directed)</w:t>
      </w:r>
      <w:r w:rsidR="00F213E9">
        <w:rPr>
          <w:rFonts w:ascii="Arial" w:hAnsi="Arial"/>
        </w:rPr>
        <w:t>, capital asset</w:t>
      </w:r>
      <w:r w:rsidR="00AB4513">
        <w:rPr>
          <w:rFonts w:ascii="Arial" w:hAnsi="Arial"/>
        </w:rPr>
        <w:t xml:space="preserve"> adjustments to</w:t>
      </w:r>
      <w:r w:rsidR="004328A0">
        <w:rPr>
          <w:rFonts w:ascii="Arial" w:hAnsi="Arial"/>
        </w:rPr>
        <w:t xml:space="preserve"> </w:t>
      </w:r>
      <w:r w:rsidR="002F6418">
        <w:rPr>
          <w:rFonts w:ascii="Arial" w:hAnsi="Arial"/>
        </w:rPr>
        <w:t>beginning balances</w:t>
      </w:r>
      <w:r w:rsidR="00F213E9">
        <w:rPr>
          <w:rFonts w:ascii="Arial" w:hAnsi="Arial"/>
        </w:rPr>
        <w:t xml:space="preserve">, long term debt </w:t>
      </w:r>
      <w:r w:rsidR="002B13E1">
        <w:rPr>
          <w:rFonts w:ascii="Arial" w:hAnsi="Arial"/>
        </w:rPr>
        <w:t xml:space="preserve">adjustments to </w:t>
      </w:r>
      <w:r w:rsidR="002F6418">
        <w:rPr>
          <w:rFonts w:ascii="Arial" w:hAnsi="Arial"/>
        </w:rPr>
        <w:t>beginning balances</w:t>
      </w:r>
      <w:r w:rsidR="004E46A3">
        <w:rPr>
          <w:rFonts w:ascii="Arial" w:hAnsi="Arial"/>
        </w:rPr>
        <w:t xml:space="preserve"> and other restatements (error corrections, etc.)</w:t>
      </w:r>
      <w:r w:rsidR="00E31A4B">
        <w:rPr>
          <w:rFonts w:ascii="Arial" w:hAnsi="Arial"/>
        </w:rPr>
        <w:t>.</w:t>
      </w:r>
      <w:r w:rsidR="004E46A3">
        <w:rPr>
          <w:rFonts w:ascii="Arial" w:hAnsi="Arial"/>
        </w:rPr>
        <w:t xml:space="preserve">  </w:t>
      </w:r>
      <w:r>
        <w:rPr>
          <w:rFonts w:ascii="Arial" w:hAnsi="Arial"/>
        </w:rPr>
        <w:t>Total GASB reclassifications</w:t>
      </w:r>
      <w:r w:rsidR="00BC16F4">
        <w:rPr>
          <w:rFonts w:ascii="Arial" w:hAnsi="Arial"/>
        </w:rPr>
        <w:t xml:space="preserve">, for </w:t>
      </w:r>
      <w:proofErr w:type="gramStart"/>
      <w:r w:rsidR="00BC16F4">
        <w:rPr>
          <w:rFonts w:ascii="Arial" w:hAnsi="Arial"/>
        </w:rPr>
        <w:t>agencies as a whole</w:t>
      </w:r>
      <w:proofErr w:type="gramEnd"/>
      <w:r w:rsidR="00BC16F4">
        <w:rPr>
          <w:rFonts w:ascii="Arial" w:hAnsi="Arial"/>
        </w:rPr>
        <w:t xml:space="preserve"> (430G</w:t>
      </w:r>
      <w:r w:rsidR="00C6334D">
        <w:rPr>
          <w:rFonts w:ascii="Arial" w:hAnsi="Arial"/>
        </w:rPr>
        <w:t>’s</w:t>
      </w:r>
      <w:r w:rsidR="00164308">
        <w:rPr>
          <w:rFonts w:ascii="Arial" w:hAnsi="Arial"/>
        </w:rPr>
        <w:t>,</w:t>
      </w:r>
      <w:r w:rsidR="00BC16F4">
        <w:rPr>
          <w:rFonts w:ascii="Arial" w:hAnsi="Arial"/>
        </w:rPr>
        <w:t xml:space="preserve"> 430BT</w:t>
      </w:r>
      <w:r w:rsidR="00C6334D">
        <w:rPr>
          <w:rFonts w:ascii="Arial" w:hAnsi="Arial"/>
        </w:rPr>
        <w:t>A’s</w:t>
      </w:r>
      <w:r w:rsidR="00164308">
        <w:rPr>
          <w:rFonts w:ascii="Arial" w:hAnsi="Arial"/>
        </w:rPr>
        <w:t xml:space="preserve"> and 430F’s</w:t>
      </w:r>
      <w:r w:rsidR="00BC16F4">
        <w:rPr>
          <w:rFonts w:ascii="Arial" w:hAnsi="Arial"/>
        </w:rPr>
        <w:t>),</w:t>
      </w:r>
      <w:r>
        <w:rPr>
          <w:rFonts w:ascii="Arial" w:hAnsi="Arial"/>
        </w:rPr>
        <w:t xml:space="preserve"> should net to zero</w:t>
      </w:r>
      <w:r w:rsidR="00BC16F4">
        <w:rPr>
          <w:rFonts w:ascii="Arial" w:hAnsi="Arial"/>
        </w:rPr>
        <w:t>.</w:t>
      </w:r>
      <w:r>
        <w:rPr>
          <w:rFonts w:ascii="Arial" w:hAnsi="Arial"/>
        </w:rPr>
        <w:t xml:space="preserve"> </w:t>
      </w:r>
      <w:r w:rsidR="00654384">
        <w:rPr>
          <w:rFonts w:ascii="Arial" w:hAnsi="Arial"/>
        </w:rPr>
        <w:t xml:space="preserve"> Enter amount as positive if fund equity is increasing and enter amount as negative if fund equity is decreasing </w:t>
      </w:r>
      <w:proofErr w:type="gramStart"/>
      <w:r w:rsidR="00654384">
        <w:rPr>
          <w:rFonts w:ascii="Arial" w:hAnsi="Arial"/>
        </w:rPr>
        <w:t>as a result of</w:t>
      </w:r>
      <w:proofErr w:type="gramEnd"/>
      <w:r w:rsidR="00654384">
        <w:rPr>
          <w:rFonts w:ascii="Arial" w:hAnsi="Arial"/>
        </w:rPr>
        <w:t xml:space="preserve"> the restatement.</w:t>
      </w:r>
    </w:p>
    <w:p w14:paraId="610DAAC7" w14:textId="77777777" w:rsidR="00E31A4B" w:rsidRDefault="00E31A4B" w:rsidP="00C678EA">
      <w:pPr>
        <w:jc w:val="both"/>
        <w:rPr>
          <w:rFonts w:ascii="Arial" w:hAnsi="Arial"/>
        </w:rPr>
      </w:pPr>
    </w:p>
    <w:p w14:paraId="645D8941" w14:textId="677C5923" w:rsidR="00301717" w:rsidRDefault="00A35CA4" w:rsidP="00C678EA">
      <w:pPr>
        <w:jc w:val="both"/>
        <w:rPr>
          <w:rFonts w:ascii="Arial" w:hAnsi="Arial"/>
        </w:rPr>
      </w:pPr>
      <w:r w:rsidRPr="00B62BC5">
        <w:rPr>
          <w:rFonts w:ascii="Arial" w:hAnsi="Arial"/>
          <w:b/>
          <w:u w:val="single"/>
        </w:rPr>
        <w:t xml:space="preserve">430G </w:t>
      </w:r>
      <w:r w:rsidR="00F1152B" w:rsidRPr="00B62BC5">
        <w:rPr>
          <w:rFonts w:ascii="Arial" w:hAnsi="Arial"/>
          <w:b/>
          <w:u w:val="single"/>
        </w:rPr>
        <w:t>governmental type funds</w:t>
      </w:r>
      <w:proofErr w:type="gramStart"/>
      <w:r>
        <w:rPr>
          <w:rFonts w:ascii="Arial" w:hAnsi="Arial"/>
        </w:rPr>
        <w:t>:  R</w:t>
      </w:r>
      <w:r w:rsidR="00F1152B">
        <w:rPr>
          <w:rFonts w:ascii="Arial" w:hAnsi="Arial"/>
        </w:rPr>
        <w:t>estatement</w:t>
      </w:r>
      <w:proofErr w:type="gramEnd"/>
      <w:r w:rsidR="00F1152B">
        <w:rPr>
          <w:rFonts w:ascii="Arial" w:hAnsi="Arial"/>
        </w:rPr>
        <w:t xml:space="preserve"> amounts </w:t>
      </w:r>
      <w:r w:rsidR="00906966">
        <w:rPr>
          <w:rFonts w:ascii="Arial" w:hAnsi="Arial"/>
        </w:rPr>
        <w:t xml:space="preserve">for capital assets </w:t>
      </w:r>
      <w:r w:rsidR="006908C5">
        <w:rPr>
          <w:rFonts w:ascii="Arial" w:hAnsi="Arial"/>
        </w:rPr>
        <w:t xml:space="preserve">should be </w:t>
      </w:r>
      <w:r w:rsidR="00ED3DC7">
        <w:rPr>
          <w:rFonts w:ascii="Arial" w:hAnsi="Arial"/>
        </w:rPr>
        <w:t xml:space="preserve">reported </w:t>
      </w:r>
      <w:r w:rsidR="00F1152B">
        <w:rPr>
          <w:rFonts w:ascii="Arial" w:hAnsi="Arial"/>
        </w:rPr>
        <w:t>in the Capital Assets</w:t>
      </w:r>
      <w:r w:rsidR="00301717">
        <w:rPr>
          <w:rFonts w:ascii="Arial" w:hAnsi="Arial"/>
        </w:rPr>
        <w:t xml:space="preserve"> GASB 5100</w:t>
      </w:r>
      <w:r w:rsidR="00F1152B">
        <w:rPr>
          <w:rFonts w:ascii="Arial" w:hAnsi="Arial"/>
        </w:rPr>
        <w:t xml:space="preserve"> column </w:t>
      </w:r>
      <w:r w:rsidR="00B57841">
        <w:rPr>
          <w:rFonts w:ascii="Arial" w:hAnsi="Arial"/>
        </w:rPr>
        <w:t xml:space="preserve">and </w:t>
      </w:r>
      <w:r w:rsidR="00D05B6B" w:rsidRPr="00FD0AE3">
        <w:rPr>
          <w:rFonts w:ascii="Arial" w:hAnsi="Arial"/>
        </w:rPr>
        <w:t xml:space="preserve">should </w:t>
      </w:r>
      <w:proofErr w:type="gramStart"/>
      <w:r w:rsidR="00D05B6B" w:rsidRPr="00FD0AE3">
        <w:rPr>
          <w:rFonts w:ascii="Arial" w:hAnsi="Arial"/>
        </w:rPr>
        <w:t>tie</w:t>
      </w:r>
      <w:proofErr w:type="gramEnd"/>
      <w:r w:rsidR="00D05B6B" w:rsidRPr="00FD0AE3">
        <w:rPr>
          <w:rFonts w:ascii="Arial" w:hAnsi="Arial"/>
        </w:rPr>
        <w:t xml:space="preserve"> back to the </w:t>
      </w:r>
      <w:r w:rsidR="00B9296D">
        <w:rPr>
          <w:rFonts w:ascii="Arial" w:hAnsi="Arial"/>
        </w:rPr>
        <w:t>Adjustments to July 1 Balance</w:t>
      </w:r>
      <w:r w:rsidR="00D05B6B" w:rsidRPr="00FD0AE3">
        <w:rPr>
          <w:rFonts w:ascii="Arial" w:hAnsi="Arial"/>
        </w:rPr>
        <w:t xml:space="preserve"> column on worksheet</w:t>
      </w:r>
      <w:r w:rsidR="00C6334D">
        <w:rPr>
          <w:rFonts w:ascii="Arial" w:hAnsi="Arial"/>
        </w:rPr>
        <w:t>s</w:t>
      </w:r>
      <w:r w:rsidR="00D05B6B" w:rsidRPr="00FD0AE3">
        <w:rPr>
          <w:rFonts w:ascii="Arial" w:hAnsi="Arial"/>
        </w:rPr>
        <w:t xml:space="preserve"> </w:t>
      </w:r>
      <w:r w:rsidR="00B57841" w:rsidRPr="00FD0AE3">
        <w:rPr>
          <w:rFonts w:ascii="Arial" w:hAnsi="Arial"/>
        </w:rPr>
        <w:t>202/</w:t>
      </w:r>
      <w:r w:rsidR="00D05B6B" w:rsidRPr="00FD0AE3">
        <w:rPr>
          <w:rFonts w:ascii="Arial" w:hAnsi="Arial"/>
        </w:rPr>
        <w:t>20</w:t>
      </w:r>
      <w:r w:rsidR="00066655">
        <w:rPr>
          <w:rFonts w:ascii="Arial" w:hAnsi="Arial"/>
        </w:rPr>
        <w:t>3</w:t>
      </w:r>
      <w:r w:rsidR="00ED7608">
        <w:rPr>
          <w:rFonts w:ascii="Arial" w:hAnsi="Arial"/>
        </w:rPr>
        <w:t>.  Note</w:t>
      </w:r>
      <w:proofErr w:type="gramStart"/>
      <w:r w:rsidR="00ED7608">
        <w:rPr>
          <w:rFonts w:ascii="Arial" w:hAnsi="Arial"/>
        </w:rPr>
        <w:t>:  For</w:t>
      </w:r>
      <w:proofErr w:type="gramEnd"/>
      <w:r w:rsidR="00ED7608">
        <w:rPr>
          <w:rFonts w:ascii="Arial" w:hAnsi="Arial"/>
        </w:rPr>
        <w:t xml:space="preserve"> agency restatements related to capital assets</w:t>
      </w:r>
      <w:r w:rsidR="005001B7">
        <w:rPr>
          <w:rFonts w:ascii="Arial" w:hAnsi="Arial"/>
        </w:rPr>
        <w:t xml:space="preserve"> that are not tracked in the </w:t>
      </w:r>
      <w:r w:rsidR="00FF71C5">
        <w:rPr>
          <w:rFonts w:ascii="Arial" w:hAnsi="Arial"/>
        </w:rPr>
        <w:t xml:space="preserve">NCFS </w:t>
      </w:r>
      <w:r w:rsidR="005001B7">
        <w:rPr>
          <w:rFonts w:ascii="Arial" w:hAnsi="Arial"/>
        </w:rPr>
        <w:t xml:space="preserve">Fixed Asset </w:t>
      </w:r>
      <w:r w:rsidR="006422E7">
        <w:rPr>
          <w:rFonts w:ascii="Arial" w:hAnsi="Arial"/>
        </w:rPr>
        <w:t>module</w:t>
      </w:r>
      <w:r w:rsidR="005001B7">
        <w:rPr>
          <w:rFonts w:ascii="Arial" w:hAnsi="Arial"/>
        </w:rPr>
        <w:t>, the restatements should agree to the 201/210 worksheets</w:t>
      </w:r>
      <w:r w:rsidR="00511971">
        <w:rPr>
          <w:rFonts w:ascii="Arial" w:hAnsi="Arial"/>
        </w:rPr>
        <w:t xml:space="preserve"> (No</w:t>
      </w:r>
      <w:r w:rsidR="00561B2D">
        <w:rPr>
          <w:rFonts w:ascii="Arial" w:hAnsi="Arial"/>
        </w:rPr>
        <w:t xml:space="preserve">te: The error checks on the 430G </w:t>
      </w:r>
      <w:r w:rsidR="00663A7B">
        <w:rPr>
          <w:rFonts w:ascii="Arial" w:hAnsi="Arial"/>
        </w:rPr>
        <w:t xml:space="preserve">column for GASB 5100 Capital Assets will not work correctly for </w:t>
      </w:r>
      <w:r w:rsidR="0060758E">
        <w:rPr>
          <w:rFonts w:ascii="Arial" w:hAnsi="Arial"/>
        </w:rPr>
        <w:t>agencies that track governmental capital assets on a different system)</w:t>
      </w:r>
      <w:r w:rsidR="00FD0AE3" w:rsidRPr="00FD0AE3">
        <w:rPr>
          <w:rFonts w:ascii="Arial" w:hAnsi="Arial"/>
        </w:rPr>
        <w:t>.</w:t>
      </w:r>
      <w:r w:rsidR="00F1152B">
        <w:rPr>
          <w:rFonts w:ascii="Arial" w:hAnsi="Arial"/>
        </w:rPr>
        <w:t xml:space="preserve">  Restatement amounts </w:t>
      </w:r>
      <w:r w:rsidR="00B57841">
        <w:rPr>
          <w:rFonts w:ascii="Arial" w:hAnsi="Arial"/>
        </w:rPr>
        <w:t xml:space="preserve">reported </w:t>
      </w:r>
      <w:r w:rsidR="00F1152B">
        <w:rPr>
          <w:rFonts w:ascii="Arial" w:hAnsi="Arial"/>
        </w:rPr>
        <w:t>in the General Long</w:t>
      </w:r>
      <w:r w:rsidR="000C0C4F">
        <w:rPr>
          <w:rFonts w:ascii="Arial" w:hAnsi="Arial"/>
        </w:rPr>
        <w:t>-</w:t>
      </w:r>
      <w:r w:rsidR="00F1152B">
        <w:rPr>
          <w:rFonts w:ascii="Arial" w:hAnsi="Arial"/>
        </w:rPr>
        <w:t>Term Debt</w:t>
      </w:r>
      <w:r w:rsidR="00301717">
        <w:rPr>
          <w:rFonts w:ascii="Arial" w:hAnsi="Arial"/>
        </w:rPr>
        <w:t xml:space="preserve"> GASB 5200</w:t>
      </w:r>
      <w:r w:rsidR="00F1152B">
        <w:rPr>
          <w:rFonts w:ascii="Arial" w:hAnsi="Arial"/>
        </w:rPr>
        <w:t xml:space="preserve"> column should </w:t>
      </w:r>
      <w:proofErr w:type="gramStart"/>
      <w:r w:rsidR="00F1152B">
        <w:rPr>
          <w:rFonts w:ascii="Arial" w:hAnsi="Arial"/>
        </w:rPr>
        <w:t>tie</w:t>
      </w:r>
      <w:proofErr w:type="gramEnd"/>
      <w:r w:rsidR="00F1152B">
        <w:rPr>
          <w:rFonts w:ascii="Arial" w:hAnsi="Arial"/>
        </w:rPr>
        <w:t xml:space="preserve"> back to the </w:t>
      </w:r>
      <w:r w:rsidR="00066655">
        <w:rPr>
          <w:rFonts w:ascii="Arial" w:hAnsi="Arial"/>
        </w:rPr>
        <w:t>Adjustments to July 1 Balance</w:t>
      </w:r>
      <w:r w:rsidR="00F1152B">
        <w:rPr>
          <w:rFonts w:ascii="Arial" w:hAnsi="Arial"/>
        </w:rPr>
        <w:t xml:space="preserve"> column on worksheet 305.</w:t>
      </w:r>
      <w:r w:rsidR="00E31A4B">
        <w:rPr>
          <w:rFonts w:ascii="Arial" w:hAnsi="Arial"/>
        </w:rPr>
        <w:t xml:space="preserve">  </w:t>
      </w:r>
      <w:r w:rsidR="00247AE9" w:rsidRPr="004B5720">
        <w:rPr>
          <w:rFonts w:ascii="Arial" w:hAnsi="Arial"/>
        </w:rPr>
        <w:t xml:space="preserve">If there is a change between the prior year ending FUND BALANCE – JUNE 30 and the current year beginning FUND BALANCE – JULY 1, on the </w:t>
      </w:r>
      <w:r w:rsidR="00E40074">
        <w:rPr>
          <w:rFonts w:ascii="Arial" w:hAnsi="Arial"/>
        </w:rPr>
        <w:t>NC ACFR</w:t>
      </w:r>
      <w:r w:rsidR="00247AE9" w:rsidRPr="004B5720">
        <w:rPr>
          <w:rFonts w:ascii="Arial" w:hAnsi="Arial"/>
        </w:rPr>
        <w:t xml:space="preserve"> 52G, the difference should agree to the GASB fund balance reclassification.  For any restatements reported in the “Other” column on the 430G, the agency should </w:t>
      </w:r>
      <w:r w:rsidR="00D869CD">
        <w:rPr>
          <w:rFonts w:ascii="Arial" w:hAnsi="Arial"/>
        </w:rPr>
        <w:t xml:space="preserve">have </w:t>
      </w:r>
      <w:r w:rsidR="00247AE9" w:rsidRPr="004B5720">
        <w:rPr>
          <w:rFonts w:ascii="Arial" w:hAnsi="Arial"/>
        </w:rPr>
        <w:t>record</w:t>
      </w:r>
      <w:r w:rsidR="00D869CD">
        <w:rPr>
          <w:rFonts w:ascii="Arial" w:hAnsi="Arial"/>
        </w:rPr>
        <w:t>ed</w:t>
      </w:r>
      <w:r w:rsidR="00247AE9" w:rsidRPr="004B5720">
        <w:rPr>
          <w:rFonts w:ascii="Arial" w:hAnsi="Arial"/>
        </w:rPr>
        <w:t xml:space="preserve"> a restatement to Account 320001</w:t>
      </w:r>
      <w:r w:rsidR="006615D0">
        <w:rPr>
          <w:rFonts w:ascii="Arial" w:hAnsi="Arial"/>
        </w:rPr>
        <w:t>00</w:t>
      </w:r>
      <w:r w:rsidR="00247AE9" w:rsidRPr="004B5720">
        <w:rPr>
          <w:rFonts w:ascii="Arial" w:hAnsi="Arial"/>
        </w:rPr>
        <w:t xml:space="preserve"> in NC</w:t>
      </w:r>
      <w:r w:rsidR="006615D0">
        <w:rPr>
          <w:rFonts w:ascii="Arial" w:hAnsi="Arial"/>
        </w:rPr>
        <w:t>FS</w:t>
      </w:r>
      <w:r w:rsidR="00247AE9" w:rsidRPr="004B5720">
        <w:rPr>
          <w:rFonts w:ascii="Arial" w:hAnsi="Arial"/>
        </w:rPr>
        <w:t>.  The total restatements in the “Other</w:t>
      </w:r>
      <w:r w:rsidR="00857575" w:rsidRPr="004B5720">
        <w:rPr>
          <w:rFonts w:ascii="Arial" w:hAnsi="Arial"/>
        </w:rPr>
        <w:t>”</w:t>
      </w:r>
      <w:r w:rsidR="00247AE9" w:rsidRPr="004B5720">
        <w:rPr>
          <w:rFonts w:ascii="Arial" w:hAnsi="Arial"/>
        </w:rPr>
        <w:t xml:space="preserve"> column should </w:t>
      </w:r>
      <w:r w:rsidR="00247AE9" w:rsidRPr="004B5720">
        <w:rPr>
          <w:rFonts w:ascii="Arial" w:hAnsi="Arial"/>
        </w:rPr>
        <w:lastRenderedPageBreak/>
        <w:t xml:space="preserve">agree to </w:t>
      </w:r>
      <w:r w:rsidR="00AD0A83">
        <w:rPr>
          <w:rFonts w:ascii="Arial" w:hAnsi="Arial"/>
        </w:rPr>
        <w:t xml:space="preserve">NCFS </w:t>
      </w:r>
      <w:r w:rsidR="00247AE9" w:rsidRPr="004B5720">
        <w:rPr>
          <w:rFonts w:ascii="Arial" w:hAnsi="Arial"/>
        </w:rPr>
        <w:t>Account 320001</w:t>
      </w:r>
      <w:r w:rsidR="006615D0">
        <w:rPr>
          <w:rFonts w:ascii="Arial" w:hAnsi="Arial"/>
        </w:rPr>
        <w:t>00</w:t>
      </w:r>
      <w:r w:rsidR="00247AE9" w:rsidRPr="004B5720">
        <w:rPr>
          <w:rFonts w:ascii="Arial" w:hAnsi="Arial"/>
        </w:rPr>
        <w:t xml:space="preserve"> on the </w:t>
      </w:r>
      <w:r w:rsidR="006615D0">
        <w:rPr>
          <w:rFonts w:ascii="Arial" w:hAnsi="Arial"/>
        </w:rPr>
        <w:t>NC</w:t>
      </w:r>
      <w:r w:rsidR="001A6A2A">
        <w:rPr>
          <w:rFonts w:ascii="Arial" w:hAnsi="Arial"/>
        </w:rPr>
        <w:t xml:space="preserve"> ACFR</w:t>
      </w:r>
      <w:r w:rsidR="00193AE0">
        <w:rPr>
          <w:rFonts w:ascii="Arial" w:hAnsi="Arial"/>
        </w:rPr>
        <w:t xml:space="preserve"> </w:t>
      </w:r>
      <w:r w:rsidR="00247AE9" w:rsidRPr="004B5720">
        <w:rPr>
          <w:rFonts w:ascii="Arial" w:hAnsi="Arial"/>
        </w:rPr>
        <w:t xml:space="preserve">52G.  In addition, for </w:t>
      </w:r>
      <w:r w:rsidR="0097676D" w:rsidRPr="004B5720">
        <w:rPr>
          <w:rFonts w:ascii="Arial" w:hAnsi="Arial"/>
        </w:rPr>
        <w:t>a</w:t>
      </w:r>
      <w:r w:rsidR="00D84FA3">
        <w:rPr>
          <w:rFonts w:ascii="Arial" w:hAnsi="Arial"/>
        </w:rPr>
        <w:t>ll</w:t>
      </w:r>
      <w:r w:rsidR="00326688">
        <w:rPr>
          <w:rFonts w:ascii="Arial" w:hAnsi="Arial"/>
        </w:rPr>
        <w:t xml:space="preserve"> restatements</w:t>
      </w:r>
      <w:r w:rsidR="00247AE9" w:rsidRPr="004B5720">
        <w:rPr>
          <w:rFonts w:ascii="Arial" w:hAnsi="Arial"/>
        </w:rPr>
        <w:t xml:space="preserve"> reported on the 430G, the 431G should</w:t>
      </w:r>
      <w:r w:rsidR="0097676D" w:rsidRPr="004B5720">
        <w:rPr>
          <w:rFonts w:ascii="Arial" w:hAnsi="Arial"/>
        </w:rPr>
        <w:t xml:space="preserve"> be completed for each applicable caption.</w:t>
      </w:r>
    </w:p>
    <w:p w14:paraId="2630C8C5" w14:textId="77777777" w:rsidR="00910DA0" w:rsidRDefault="00910DA0" w:rsidP="00C678EA">
      <w:pPr>
        <w:jc w:val="both"/>
        <w:rPr>
          <w:rFonts w:ascii="Arial" w:hAnsi="Arial"/>
        </w:rPr>
      </w:pPr>
    </w:p>
    <w:p w14:paraId="780C3AEE" w14:textId="4F9118E2" w:rsidR="00910DA0" w:rsidRDefault="00B1595F" w:rsidP="00C678EA">
      <w:pPr>
        <w:jc w:val="both"/>
        <w:rPr>
          <w:rFonts w:ascii="Arial" w:hAnsi="Arial"/>
        </w:rPr>
      </w:pPr>
      <w:bookmarkStart w:id="1" w:name="_Hlk190868476"/>
      <w:r w:rsidRPr="00BE74E7">
        <w:rPr>
          <w:rFonts w:ascii="Arial" w:hAnsi="Arial" w:cs="Arial"/>
          <w:sz w:val="36"/>
          <w:szCs w:val="36"/>
        </w:rPr>
        <w:t>•</w:t>
      </w:r>
      <w:bookmarkEnd w:id="1"/>
      <w:r w:rsidR="00BE74E7">
        <w:rPr>
          <w:rFonts w:ascii="Arial" w:hAnsi="Arial"/>
        </w:rPr>
        <w:tab/>
      </w:r>
      <w:r w:rsidR="00910DA0">
        <w:rPr>
          <w:rFonts w:ascii="Arial" w:hAnsi="Arial"/>
        </w:rPr>
        <w:t>Make sure to select the</w:t>
      </w:r>
      <w:r w:rsidR="00AD7753">
        <w:rPr>
          <w:rFonts w:ascii="Arial" w:hAnsi="Arial"/>
        </w:rPr>
        <w:t xml:space="preserve"> specific GASB for the governmental fund in the drop-down selections under the GASB column.  </w:t>
      </w:r>
      <w:r w:rsidR="00203FC2">
        <w:rPr>
          <w:rFonts w:ascii="Arial" w:hAnsi="Arial"/>
        </w:rPr>
        <w:t xml:space="preserve">All general </w:t>
      </w:r>
      <w:proofErr w:type="gramStart"/>
      <w:r w:rsidR="00203FC2">
        <w:rPr>
          <w:rFonts w:ascii="Arial" w:hAnsi="Arial"/>
        </w:rPr>
        <w:t>fund</w:t>
      </w:r>
      <w:proofErr w:type="gramEnd"/>
      <w:r w:rsidR="00203FC2">
        <w:rPr>
          <w:rFonts w:ascii="Arial" w:hAnsi="Arial"/>
        </w:rPr>
        <w:t xml:space="preserve"> GASBs will be identified </w:t>
      </w:r>
      <w:r w:rsidR="000A2DE9">
        <w:rPr>
          <w:rFonts w:ascii="Arial" w:hAnsi="Arial"/>
        </w:rPr>
        <w:t>as GASB 11XX.  Special</w:t>
      </w:r>
      <w:r w:rsidR="00A31D42">
        <w:rPr>
          <w:rFonts w:ascii="Arial" w:hAnsi="Arial"/>
        </w:rPr>
        <w:t xml:space="preserve"> revenue funds, capital funds and permanent funds must be identified by </w:t>
      </w:r>
      <w:r w:rsidR="00C215BA" w:rsidRPr="00BD6548">
        <w:rPr>
          <w:rFonts w:ascii="Arial" w:hAnsi="Arial"/>
          <w:b/>
          <w:bCs/>
          <w:u w:val="single"/>
        </w:rPr>
        <w:t>each</w:t>
      </w:r>
      <w:r w:rsidR="00C215BA">
        <w:rPr>
          <w:rFonts w:ascii="Arial" w:hAnsi="Arial"/>
        </w:rPr>
        <w:t xml:space="preserve"> s</w:t>
      </w:r>
      <w:r w:rsidR="00A31D42">
        <w:rPr>
          <w:rFonts w:ascii="Arial" w:hAnsi="Arial"/>
        </w:rPr>
        <w:t xml:space="preserve">pecific GASB.  </w:t>
      </w:r>
      <w:r w:rsidR="009877AA">
        <w:rPr>
          <w:rFonts w:ascii="Arial" w:hAnsi="Arial"/>
        </w:rPr>
        <w:t>T</w:t>
      </w:r>
      <w:r w:rsidR="00CF282B">
        <w:rPr>
          <w:rFonts w:ascii="Arial" w:hAnsi="Arial"/>
        </w:rPr>
        <w:t>he total</w:t>
      </w:r>
      <w:r w:rsidR="00305D45">
        <w:rPr>
          <w:rFonts w:ascii="Arial" w:hAnsi="Arial"/>
        </w:rPr>
        <w:t xml:space="preserve"> restatement</w:t>
      </w:r>
      <w:r w:rsidR="009877AA">
        <w:rPr>
          <w:rFonts w:ascii="Arial" w:hAnsi="Arial"/>
        </w:rPr>
        <w:t xml:space="preserve"> by specific GASB will be calculated at the bottom </w:t>
      </w:r>
      <w:r w:rsidR="00305D45">
        <w:rPr>
          <w:rFonts w:ascii="Arial" w:hAnsi="Arial"/>
        </w:rPr>
        <w:t>of the 430G (green box)</w:t>
      </w:r>
      <w:r w:rsidR="009877AA">
        <w:rPr>
          <w:rFonts w:ascii="Arial" w:hAnsi="Arial"/>
        </w:rPr>
        <w:t xml:space="preserve">.  For </w:t>
      </w:r>
      <w:r w:rsidR="00DC4EA2">
        <w:rPr>
          <w:rFonts w:ascii="Arial" w:hAnsi="Arial"/>
          <w:b/>
          <w:bCs/>
          <w:u w:val="single"/>
        </w:rPr>
        <w:t xml:space="preserve">each </w:t>
      </w:r>
      <w:r w:rsidR="009877AA">
        <w:rPr>
          <w:rFonts w:ascii="Arial" w:hAnsi="Arial"/>
        </w:rPr>
        <w:t xml:space="preserve">GASB with a restatement, a separate 431G must be completed.  Create additional 431G worksheets as needed. </w:t>
      </w:r>
    </w:p>
    <w:p w14:paraId="1F3D4A82" w14:textId="77777777" w:rsidR="00B62BC5" w:rsidRDefault="00B62BC5" w:rsidP="00B62BC5">
      <w:pPr>
        <w:jc w:val="both"/>
        <w:rPr>
          <w:rFonts w:ascii="Arial" w:hAnsi="Arial"/>
          <w:b/>
          <w:bCs/>
          <w:color w:val="FF0000"/>
        </w:rPr>
      </w:pPr>
    </w:p>
    <w:p w14:paraId="21C112B5" w14:textId="462605ED" w:rsidR="00B62BC5" w:rsidRPr="00372A51" w:rsidRDefault="007818F3" w:rsidP="00B62BC5">
      <w:pPr>
        <w:jc w:val="both"/>
        <w:rPr>
          <w:rFonts w:ascii="Arial" w:hAnsi="Arial"/>
          <w:b/>
          <w:bCs/>
        </w:rPr>
      </w:pPr>
      <w:bookmarkStart w:id="2" w:name="_Hlk190868562"/>
      <w:r w:rsidRPr="00BE74E7">
        <w:rPr>
          <w:rFonts w:ascii="Arial" w:hAnsi="Arial" w:cs="Arial"/>
          <w:sz w:val="36"/>
          <w:szCs w:val="36"/>
        </w:rPr>
        <w:t>•</w:t>
      </w:r>
      <w:bookmarkEnd w:id="2"/>
      <w:r>
        <w:rPr>
          <w:rFonts w:ascii="Arial" w:hAnsi="Arial" w:cs="Arial"/>
          <w:sz w:val="36"/>
          <w:szCs w:val="36"/>
        </w:rPr>
        <w:tab/>
      </w:r>
      <w:r w:rsidR="00B62BC5">
        <w:rPr>
          <w:rFonts w:ascii="Arial" w:hAnsi="Arial"/>
          <w:b/>
          <w:bCs/>
        </w:rPr>
        <w:t xml:space="preserve">GASB 100 – Accounting Changes and Error Corrections </w:t>
      </w:r>
      <w:r w:rsidR="00711A49">
        <w:rPr>
          <w:rFonts w:ascii="Arial" w:hAnsi="Arial"/>
          <w:b/>
          <w:bCs/>
        </w:rPr>
        <w:t>was</w:t>
      </w:r>
      <w:r w:rsidR="00B62BC5">
        <w:rPr>
          <w:rFonts w:ascii="Arial" w:hAnsi="Arial"/>
          <w:b/>
          <w:bCs/>
        </w:rPr>
        <w:t xml:space="preserve"> implemented in FY 2024, which require</w:t>
      </w:r>
      <w:r w:rsidR="00985586">
        <w:rPr>
          <w:rFonts w:ascii="Arial" w:hAnsi="Arial"/>
          <w:b/>
          <w:bCs/>
        </w:rPr>
        <w:t>d</w:t>
      </w:r>
      <w:r w:rsidR="00B62BC5">
        <w:rPr>
          <w:rFonts w:ascii="Arial" w:hAnsi="Arial"/>
          <w:b/>
          <w:bCs/>
        </w:rPr>
        <w:t xml:space="preserve"> new </w:t>
      </w:r>
      <w:r w:rsidR="00985586">
        <w:rPr>
          <w:rFonts w:ascii="Arial" w:hAnsi="Arial"/>
          <w:b/>
          <w:bCs/>
        </w:rPr>
        <w:t xml:space="preserve">narrative </w:t>
      </w:r>
      <w:r w:rsidR="00B62BC5">
        <w:rPr>
          <w:rFonts w:ascii="Arial" w:hAnsi="Arial"/>
          <w:b/>
          <w:bCs/>
        </w:rPr>
        <w:t>disclosures.  The 430 Narrative must</w:t>
      </w:r>
      <w:r w:rsidR="00B62BC5" w:rsidRPr="00372A51">
        <w:rPr>
          <w:rFonts w:ascii="Arial" w:hAnsi="Arial"/>
          <w:b/>
          <w:bCs/>
        </w:rPr>
        <w:t xml:space="preserve"> be completed for all entities that prepare </w:t>
      </w:r>
      <w:proofErr w:type="gramStart"/>
      <w:r w:rsidR="00B62BC5">
        <w:rPr>
          <w:rFonts w:ascii="Arial" w:hAnsi="Arial"/>
          <w:b/>
          <w:bCs/>
        </w:rPr>
        <w:t>worksheet</w:t>
      </w:r>
      <w:r w:rsidR="00B62BC5" w:rsidRPr="00372A51">
        <w:rPr>
          <w:rFonts w:ascii="Arial" w:hAnsi="Arial"/>
          <w:b/>
          <w:bCs/>
        </w:rPr>
        <w:t xml:space="preserve"> 430</w:t>
      </w:r>
      <w:proofErr w:type="gramEnd"/>
      <w:r w:rsidR="00B62BC5" w:rsidRPr="00372A51">
        <w:rPr>
          <w:rFonts w:ascii="Arial" w:hAnsi="Arial"/>
          <w:b/>
          <w:bCs/>
        </w:rPr>
        <w:t xml:space="preserve"> for each type of restatement reported.  See the 430 Narrative for disclosure requirements based on the type of restatement.</w:t>
      </w:r>
    </w:p>
    <w:p w14:paraId="2459D9E5" w14:textId="77777777" w:rsidR="00B62BC5" w:rsidRDefault="00B62BC5" w:rsidP="00C678EA">
      <w:pPr>
        <w:jc w:val="both"/>
        <w:rPr>
          <w:rFonts w:ascii="Arial" w:hAnsi="Arial"/>
        </w:rPr>
      </w:pPr>
    </w:p>
    <w:p w14:paraId="626EDBFD" w14:textId="2A870ECF" w:rsidR="00301717" w:rsidRDefault="00301717" w:rsidP="00C678EA">
      <w:pPr>
        <w:jc w:val="both"/>
        <w:rPr>
          <w:rFonts w:ascii="Arial" w:hAnsi="Arial"/>
        </w:rPr>
      </w:pPr>
      <w:r w:rsidRPr="00B62BC5">
        <w:rPr>
          <w:rFonts w:ascii="Arial" w:hAnsi="Arial"/>
          <w:b/>
          <w:u w:val="single"/>
        </w:rPr>
        <w:t xml:space="preserve">430BTA </w:t>
      </w:r>
      <w:r w:rsidR="00F1152B" w:rsidRPr="00B62BC5">
        <w:rPr>
          <w:rFonts w:ascii="Arial" w:hAnsi="Arial"/>
          <w:b/>
          <w:u w:val="single"/>
        </w:rPr>
        <w:t>business type funds</w:t>
      </w:r>
      <w:r w:rsidR="003E2923" w:rsidRPr="00B62BC5">
        <w:rPr>
          <w:rFonts w:ascii="Arial" w:hAnsi="Arial"/>
          <w:b/>
          <w:u w:val="single"/>
        </w:rPr>
        <w:t xml:space="preserve"> </w:t>
      </w:r>
      <w:r w:rsidR="005222B6" w:rsidRPr="00B62BC5">
        <w:rPr>
          <w:rFonts w:ascii="Arial" w:hAnsi="Arial"/>
          <w:b/>
          <w:u w:val="single"/>
        </w:rPr>
        <w:t xml:space="preserve">(use for Enterprise Funds, </w:t>
      </w:r>
      <w:r w:rsidR="00BC249A">
        <w:rPr>
          <w:rFonts w:ascii="Arial" w:hAnsi="Arial"/>
          <w:b/>
          <w:u w:val="single"/>
        </w:rPr>
        <w:t>I</w:t>
      </w:r>
      <w:r w:rsidR="005222B6" w:rsidRPr="00B62BC5">
        <w:rPr>
          <w:rFonts w:ascii="Arial" w:hAnsi="Arial"/>
          <w:b/>
          <w:u w:val="single"/>
        </w:rPr>
        <w:t>nternal Service Funds, Universities and Other Component Unites)</w:t>
      </w:r>
      <w:proofErr w:type="gramStart"/>
      <w:r w:rsidRPr="00B62BC5">
        <w:rPr>
          <w:rFonts w:ascii="Arial" w:hAnsi="Arial"/>
          <w:u w:val="single"/>
        </w:rPr>
        <w:t>:</w:t>
      </w:r>
      <w:r>
        <w:rPr>
          <w:rFonts w:ascii="Arial" w:hAnsi="Arial"/>
        </w:rPr>
        <w:t xml:space="preserve">  R</w:t>
      </w:r>
      <w:r w:rsidR="00F1152B">
        <w:rPr>
          <w:rFonts w:ascii="Arial" w:hAnsi="Arial"/>
        </w:rPr>
        <w:t>estatement</w:t>
      </w:r>
      <w:proofErr w:type="gramEnd"/>
      <w:r w:rsidR="00F1152B">
        <w:rPr>
          <w:rFonts w:ascii="Arial" w:hAnsi="Arial"/>
        </w:rPr>
        <w:t xml:space="preserve"> amounts in the Capital Transactions column </w:t>
      </w:r>
      <w:r w:rsidR="00C6334D">
        <w:rPr>
          <w:rFonts w:ascii="Arial" w:hAnsi="Arial"/>
        </w:rPr>
        <w:t>should</w:t>
      </w:r>
      <w:r w:rsidR="00F1152B">
        <w:rPr>
          <w:rFonts w:ascii="Arial" w:hAnsi="Arial"/>
        </w:rPr>
        <w:t xml:space="preserve"> </w:t>
      </w:r>
      <w:r w:rsidR="00C6334D">
        <w:rPr>
          <w:rFonts w:ascii="Arial" w:hAnsi="Arial"/>
        </w:rPr>
        <w:t>agree</w:t>
      </w:r>
      <w:r w:rsidR="00F1152B">
        <w:rPr>
          <w:rFonts w:ascii="Arial" w:hAnsi="Arial"/>
        </w:rPr>
        <w:t xml:space="preserve"> to the </w:t>
      </w:r>
      <w:r>
        <w:rPr>
          <w:rFonts w:ascii="Arial" w:hAnsi="Arial"/>
        </w:rPr>
        <w:t xml:space="preserve">sum of the </w:t>
      </w:r>
      <w:r w:rsidR="00124980">
        <w:rPr>
          <w:rFonts w:ascii="Arial" w:hAnsi="Arial"/>
        </w:rPr>
        <w:t>Adjustments to July 1 Balance</w:t>
      </w:r>
      <w:r w:rsidR="00F1152B">
        <w:rPr>
          <w:rFonts w:ascii="Arial" w:hAnsi="Arial"/>
        </w:rPr>
        <w:t xml:space="preserve"> columns on worksheets 201 and 210.  Restatement amounts in the Long</w:t>
      </w:r>
      <w:r w:rsidR="007D6EAE">
        <w:rPr>
          <w:rFonts w:ascii="Arial" w:hAnsi="Arial"/>
        </w:rPr>
        <w:t>-</w:t>
      </w:r>
      <w:r w:rsidR="00F1152B">
        <w:rPr>
          <w:rFonts w:ascii="Arial" w:hAnsi="Arial"/>
        </w:rPr>
        <w:t xml:space="preserve">Term Transactions column </w:t>
      </w:r>
      <w:r w:rsidR="00C6334D">
        <w:rPr>
          <w:rFonts w:ascii="Arial" w:hAnsi="Arial"/>
        </w:rPr>
        <w:t>should</w:t>
      </w:r>
      <w:r w:rsidR="00F1152B">
        <w:rPr>
          <w:rFonts w:ascii="Arial" w:hAnsi="Arial"/>
        </w:rPr>
        <w:t xml:space="preserve"> </w:t>
      </w:r>
      <w:r w:rsidR="00C6334D">
        <w:rPr>
          <w:rFonts w:ascii="Arial" w:hAnsi="Arial"/>
        </w:rPr>
        <w:t>agree</w:t>
      </w:r>
      <w:r w:rsidR="00F1152B">
        <w:rPr>
          <w:rFonts w:ascii="Arial" w:hAnsi="Arial"/>
        </w:rPr>
        <w:t xml:space="preserve"> to the </w:t>
      </w:r>
      <w:r w:rsidR="00E31A4B">
        <w:rPr>
          <w:rFonts w:ascii="Arial" w:hAnsi="Arial"/>
        </w:rPr>
        <w:t xml:space="preserve">total of the </w:t>
      </w:r>
      <w:r w:rsidR="00275B52">
        <w:rPr>
          <w:rFonts w:ascii="Arial" w:hAnsi="Arial"/>
        </w:rPr>
        <w:t>Adjustments to July 1 Balance</w:t>
      </w:r>
      <w:r w:rsidR="00F1152B">
        <w:rPr>
          <w:rFonts w:ascii="Arial" w:hAnsi="Arial"/>
        </w:rPr>
        <w:t xml:space="preserve"> column on worksheet 310</w:t>
      </w:r>
      <w:r w:rsidR="00F1152B" w:rsidRPr="004B5720">
        <w:rPr>
          <w:rFonts w:ascii="Arial" w:hAnsi="Arial"/>
        </w:rPr>
        <w:t xml:space="preserve">.  </w:t>
      </w:r>
      <w:r w:rsidR="0097676D" w:rsidRPr="004B5720">
        <w:rPr>
          <w:rFonts w:ascii="Arial" w:hAnsi="Arial"/>
        </w:rPr>
        <w:t xml:space="preserve">If there is a difference between the prior year’s ending NET POSITION – JUNE 30 and the current year’s beginning NET POSITION – JULY 1 on the </w:t>
      </w:r>
      <w:r w:rsidR="001A6A2A">
        <w:rPr>
          <w:rFonts w:ascii="Arial" w:hAnsi="Arial"/>
        </w:rPr>
        <w:t>NC ACFR</w:t>
      </w:r>
      <w:r w:rsidR="0097676D" w:rsidRPr="004B5720">
        <w:rPr>
          <w:rFonts w:ascii="Arial" w:hAnsi="Arial"/>
        </w:rPr>
        <w:t xml:space="preserve"> 53P</w:t>
      </w:r>
      <w:r w:rsidR="00193AE0">
        <w:rPr>
          <w:rFonts w:ascii="Arial" w:hAnsi="Arial"/>
        </w:rPr>
        <w:t xml:space="preserve"> report</w:t>
      </w:r>
      <w:r w:rsidR="0097676D" w:rsidRPr="004B5720">
        <w:rPr>
          <w:rFonts w:ascii="Arial" w:hAnsi="Arial"/>
        </w:rPr>
        <w:t xml:space="preserve">, </w:t>
      </w:r>
      <w:r w:rsidR="0097676D" w:rsidRPr="00275B52">
        <w:rPr>
          <w:rFonts w:ascii="Arial" w:hAnsi="Arial"/>
        </w:rPr>
        <w:t>the difference should agree to any GASB re</w:t>
      </w:r>
      <w:r w:rsidR="003C5AB5" w:rsidRPr="00275B52">
        <w:rPr>
          <w:rFonts w:ascii="Arial" w:hAnsi="Arial"/>
        </w:rPr>
        <w:t>classifications</w:t>
      </w:r>
      <w:r w:rsidR="0097676D" w:rsidRPr="00275B52">
        <w:rPr>
          <w:rFonts w:ascii="Arial" w:hAnsi="Arial"/>
        </w:rPr>
        <w:t>.</w:t>
      </w:r>
      <w:r w:rsidR="0097676D" w:rsidRPr="004B5720">
        <w:rPr>
          <w:rFonts w:ascii="Arial" w:hAnsi="Arial"/>
        </w:rPr>
        <w:t xml:space="preserve">  The calculated Total restatement does not include the GASB Reclassifications column.  The calculated Total Restatement should agree to the sum of the total Capital Transactions column, the </w:t>
      </w:r>
      <w:r w:rsidR="00857575" w:rsidRPr="004B5720">
        <w:rPr>
          <w:rFonts w:ascii="Arial" w:hAnsi="Arial"/>
        </w:rPr>
        <w:t xml:space="preserve">total </w:t>
      </w:r>
      <w:r w:rsidR="0097676D" w:rsidRPr="004B5720">
        <w:rPr>
          <w:rFonts w:ascii="Arial" w:hAnsi="Arial"/>
        </w:rPr>
        <w:t>Long-Term/Short Term Transactions column</w:t>
      </w:r>
      <w:r w:rsidR="00857575" w:rsidRPr="004B5720">
        <w:rPr>
          <w:rFonts w:ascii="Arial" w:hAnsi="Arial"/>
        </w:rPr>
        <w:t>,</w:t>
      </w:r>
      <w:r w:rsidR="0097676D" w:rsidRPr="004B5720">
        <w:rPr>
          <w:rFonts w:ascii="Arial" w:hAnsi="Arial"/>
        </w:rPr>
        <w:t xml:space="preserve"> and the </w:t>
      </w:r>
      <w:r w:rsidR="004B5720" w:rsidRPr="004B5720">
        <w:rPr>
          <w:rFonts w:ascii="Arial" w:hAnsi="Arial"/>
        </w:rPr>
        <w:t xml:space="preserve">total </w:t>
      </w:r>
      <w:proofErr w:type="gramStart"/>
      <w:r w:rsidR="0097676D" w:rsidRPr="004B5720">
        <w:rPr>
          <w:rFonts w:ascii="Arial" w:hAnsi="Arial"/>
        </w:rPr>
        <w:t>Other</w:t>
      </w:r>
      <w:proofErr w:type="gramEnd"/>
      <w:r w:rsidR="0097676D" w:rsidRPr="004B5720">
        <w:rPr>
          <w:rFonts w:ascii="Arial" w:hAnsi="Arial"/>
        </w:rPr>
        <w:t xml:space="preserve"> column on worksheet 430BTA.  The calculated Total Restatement should also agree to the Restatement caption (</w:t>
      </w:r>
      <w:r w:rsidR="00AD0A83">
        <w:rPr>
          <w:rFonts w:ascii="Arial" w:hAnsi="Arial"/>
        </w:rPr>
        <w:t xml:space="preserve">NCFS </w:t>
      </w:r>
      <w:r w:rsidR="0097676D" w:rsidRPr="004B5720">
        <w:rPr>
          <w:rFonts w:ascii="Arial" w:hAnsi="Arial"/>
        </w:rPr>
        <w:t>Account 3</w:t>
      </w:r>
      <w:r w:rsidR="00AD0A83">
        <w:rPr>
          <w:rFonts w:ascii="Arial" w:hAnsi="Arial"/>
        </w:rPr>
        <w:t>2</w:t>
      </w:r>
      <w:r w:rsidR="0097676D" w:rsidRPr="004B5720">
        <w:rPr>
          <w:rFonts w:ascii="Arial" w:hAnsi="Arial"/>
        </w:rPr>
        <w:t>0001</w:t>
      </w:r>
      <w:r w:rsidR="00971668">
        <w:rPr>
          <w:rFonts w:ascii="Arial" w:hAnsi="Arial"/>
        </w:rPr>
        <w:t>00</w:t>
      </w:r>
      <w:r w:rsidR="0097676D" w:rsidRPr="004B5720">
        <w:rPr>
          <w:rFonts w:ascii="Arial" w:hAnsi="Arial"/>
        </w:rPr>
        <w:t xml:space="preserve">) on the </w:t>
      </w:r>
      <w:r w:rsidR="00971668">
        <w:rPr>
          <w:rFonts w:ascii="Arial" w:hAnsi="Arial"/>
        </w:rPr>
        <w:t>NC ACFR</w:t>
      </w:r>
      <w:r w:rsidR="00193AE0">
        <w:rPr>
          <w:rFonts w:ascii="Arial" w:hAnsi="Arial"/>
        </w:rPr>
        <w:t xml:space="preserve"> </w:t>
      </w:r>
      <w:r w:rsidR="0097676D" w:rsidRPr="004B5720">
        <w:rPr>
          <w:rFonts w:ascii="Arial" w:hAnsi="Arial"/>
        </w:rPr>
        <w:t>53P report</w:t>
      </w:r>
      <w:r w:rsidR="00857575" w:rsidRPr="004B5720">
        <w:rPr>
          <w:rFonts w:ascii="Arial" w:hAnsi="Arial"/>
        </w:rPr>
        <w:t xml:space="preserve"> or</w:t>
      </w:r>
      <w:r w:rsidR="0097676D" w:rsidRPr="004B5720">
        <w:rPr>
          <w:rFonts w:ascii="Arial" w:hAnsi="Arial"/>
        </w:rPr>
        <w:t xml:space="preserve"> line </w:t>
      </w:r>
      <w:r w:rsidR="0097676D" w:rsidRPr="002F1732">
        <w:rPr>
          <w:rFonts w:ascii="Arial" w:hAnsi="Arial"/>
        </w:rPr>
        <w:t>2</w:t>
      </w:r>
      <w:r w:rsidR="002F1732" w:rsidRPr="002F1732">
        <w:rPr>
          <w:rFonts w:ascii="Arial" w:hAnsi="Arial"/>
        </w:rPr>
        <w:t>62</w:t>
      </w:r>
      <w:r w:rsidR="0097676D" w:rsidRPr="002F1732">
        <w:rPr>
          <w:rFonts w:ascii="Arial" w:hAnsi="Arial"/>
        </w:rPr>
        <w:t xml:space="preserve"> </w:t>
      </w:r>
      <w:r w:rsidR="002617C8">
        <w:rPr>
          <w:rFonts w:ascii="Arial" w:hAnsi="Arial"/>
        </w:rPr>
        <w:t>(reference 2990</w:t>
      </w:r>
      <w:r w:rsidR="00D23E8D">
        <w:rPr>
          <w:rFonts w:ascii="Arial" w:hAnsi="Arial"/>
        </w:rPr>
        <w:t xml:space="preserve">) Restatements </w:t>
      </w:r>
      <w:r w:rsidR="0097676D" w:rsidRPr="002F1732">
        <w:rPr>
          <w:rFonts w:ascii="Arial" w:hAnsi="Arial"/>
        </w:rPr>
        <w:t>on worksheet 905 for univ</w:t>
      </w:r>
      <w:r w:rsidR="00857575" w:rsidRPr="002F1732">
        <w:rPr>
          <w:rFonts w:ascii="Arial" w:hAnsi="Arial"/>
        </w:rPr>
        <w:t>ersities</w:t>
      </w:r>
      <w:r w:rsidR="00857575" w:rsidRPr="004B5720">
        <w:rPr>
          <w:rFonts w:ascii="Arial" w:hAnsi="Arial"/>
        </w:rPr>
        <w:t>.</w:t>
      </w:r>
    </w:p>
    <w:p w14:paraId="1558DE49" w14:textId="77777777" w:rsidR="00265FB4" w:rsidRDefault="00265FB4" w:rsidP="00C678EA">
      <w:pPr>
        <w:jc w:val="both"/>
        <w:rPr>
          <w:rFonts w:ascii="Arial" w:hAnsi="Arial"/>
          <w:b/>
          <w:bCs/>
          <w:color w:val="FF0000"/>
        </w:rPr>
      </w:pPr>
    </w:p>
    <w:p w14:paraId="07673E98" w14:textId="77777777" w:rsidR="00D23E8D" w:rsidRDefault="00D23E8D" w:rsidP="00C678EA">
      <w:pPr>
        <w:jc w:val="both"/>
        <w:rPr>
          <w:rFonts w:ascii="Arial" w:hAnsi="Arial"/>
          <w:b/>
          <w:bCs/>
          <w:color w:val="FF0000"/>
        </w:rPr>
      </w:pPr>
    </w:p>
    <w:p w14:paraId="6E80BB72" w14:textId="5B233C7D" w:rsidR="00971668" w:rsidRDefault="00971668" w:rsidP="00C678EA">
      <w:pPr>
        <w:jc w:val="both"/>
        <w:rPr>
          <w:rFonts w:ascii="Arial" w:hAnsi="Arial"/>
          <w:b/>
          <w:bCs/>
          <w:color w:val="FF0000"/>
        </w:rPr>
      </w:pPr>
      <w:r w:rsidRPr="00265FB4">
        <w:rPr>
          <w:rFonts w:ascii="Arial" w:hAnsi="Arial"/>
          <w:b/>
          <w:bCs/>
          <w:color w:val="FF0000"/>
        </w:rPr>
        <w:t xml:space="preserve">Note: </w:t>
      </w:r>
      <w:r w:rsidR="00BA64C1" w:rsidRPr="00265FB4">
        <w:rPr>
          <w:rFonts w:ascii="Arial" w:hAnsi="Arial"/>
          <w:b/>
          <w:bCs/>
          <w:color w:val="FF0000"/>
        </w:rPr>
        <w:t xml:space="preserve">NCFS </w:t>
      </w:r>
      <w:r w:rsidR="00A16E77">
        <w:rPr>
          <w:rFonts w:ascii="Arial" w:hAnsi="Arial"/>
          <w:b/>
          <w:bCs/>
          <w:color w:val="FF0000"/>
        </w:rPr>
        <w:t>has</w:t>
      </w:r>
      <w:r w:rsidR="00BA64C1" w:rsidRPr="00265FB4">
        <w:rPr>
          <w:rFonts w:ascii="Arial" w:hAnsi="Arial"/>
          <w:b/>
          <w:bCs/>
          <w:color w:val="FF0000"/>
        </w:rPr>
        <w:t xml:space="preserve"> only one account for both fund balance and net position (32000</w:t>
      </w:r>
      <w:r w:rsidR="00265FB4" w:rsidRPr="00265FB4">
        <w:rPr>
          <w:rFonts w:ascii="Arial" w:hAnsi="Arial"/>
          <w:b/>
          <w:bCs/>
          <w:color w:val="FF0000"/>
        </w:rPr>
        <w:t>000) and one restatement account (32000100).</w:t>
      </w:r>
    </w:p>
    <w:p w14:paraId="6E3BDC69" w14:textId="77777777" w:rsidR="0074641C" w:rsidRDefault="0074641C" w:rsidP="00C678EA">
      <w:pPr>
        <w:jc w:val="both"/>
        <w:rPr>
          <w:rFonts w:ascii="Arial" w:hAnsi="Arial"/>
          <w:b/>
          <w:bCs/>
          <w:color w:val="FF0000"/>
        </w:rPr>
      </w:pPr>
    </w:p>
    <w:p w14:paraId="1B34C529" w14:textId="77777777" w:rsidR="00EB1DDF" w:rsidRDefault="00EB1DDF" w:rsidP="00C678EA">
      <w:pPr>
        <w:jc w:val="both"/>
        <w:rPr>
          <w:rFonts w:ascii="Arial" w:hAnsi="Arial"/>
          <w:b/>
          <w:bCs/>
          <w:color w:val="FF0000"/>
        </w:rPr>
      </w:pPr>
    </w:p>
    <w:p w14:paraId="5A158910" w14:textId="291E2DA2" w:rsidR="0074641C" w:rsidRDefault="00EB1DDF" w:rsidP="0074641C">
      <w:pPr>
        <w:jc w:val="both"/>
        <w:rPr>
          <w:rFonts w:ascii="Arial" w:hAnsi="Arial"/>
          <w:b/>
          <w:bCs/>
        </w:rPr>
      </w:pPr>
      <w:bookmarkStart w:id="3" w:name="_Hlk190868605"/>
      <w:r w:rsidRPr="00BE74E7">
        <w:rPr>
          <w:rFonts w:ascii="Arial" w:hAnsi="Arial" w:cs="Arial"/>
          <w:sz w:val="36"/>
          <w:szCs w:val="36"/>
        </w:rPr>
        <w:t>•</w:t>
      </w:r>
      <w:bookmarkEnd w:id="3"/>
      <w:r>
        <w:rPr>
          <w:rFonts w:ascii="Arial" w:hAnsi="Arial" w:cs="Arial"/>
          <w:sz w:val="36"/>
          <w:szCs w:val="36"/>
        </w:rPr>
        <w:tab/>
      </w:r>
      <w:bookmarkStart w:id="4" w:name="_Hlk165034242"/>
      <w:r w:rsidR="0074641C">
        <w:rPr>
          <w:rFonts w:ascii="Arial" w:hAnsi="Arial"/>
          <w:b/>
          <w:bCs/>
        </w:rPr>
        <w:t xml:space="preserve">GASB 100 – Accounting Changes and Error Corrections </w:t>
      </w:r>
      <w:r w:rsidR="00F65297">
        <w:rPr>
          <w:rFonts w:ascii="Arial" w:hAnsi="Arial"/>
          <w:b/>
          <w:bCs/>
        </w:rPr>
        <w:t>was</w:t>
      </w:r>
      <w:r w:rsidR="0074641C">
        <w:rPr>
          <w:rFonts w:ascii="Arial" w:hAnsi="Arial"/>
          <w:b/>
          <w:bCs/>
        </w:rPr>
        <w:t xml:space="preserve"> implemented in FY 2024, which require</w:t>
      </w:r>
      <w:r w:rsidR="00F65297">
        <w:rPr>
          <w:rFonts w:ascii="Arial" w:hAnsi="Arial"/>
          <w:b/>
          <w:bCs/>
        </w:rPr>
        <w:t>d</w:t>
      </w:r>
      <w:r w:rsidR="0074641C">
        <w:rPr>
          <w:rFonts w:ascii="Arial" w:hAnsi="Arial"/>
          <w:b/>
          <w:bCs/>
        </w:rPr>
        <w:t xml:space="preserve"> new disclosures.  The 430 Narrative must</w:t>
      </w:r>
      <w:r w:rsidR="0074641C" w:rsidRPr="00372A51">
        <w:rPr>
          <w:rFonts w:ascii="Arial" w:hAnsi="Arial"/>
          <w:b/>
          <w:bCs/>
        </w:rPr>
        <w:t xml:space="preserve"> be completed for all entities that prepare </w:t>
      </w:r>
      <w:proofErr w:type="gramStart"/>
      <w:r w:rsidR="0074641C">
        <w:rPr>
          <w:rFonts w:ascii="Arial" w:hAnsi="Arial"/>
          <w:b/>
          <w:bCs/>
        </w:rPr>
        <w:t>worksheet</w:t>
      </w:r>
      <w:r w:rsidR="0074641C" w:rsidRPr="00372A51">
        <w:rPr>
          <w:rFonts w:ascii="Arial" w:hAnsi="Arial"/>
          <w:b/>
          <w:bCs/>
        </w:rPr>
        <w:t xml:space="preserve"> 430</w:t>
      </w:r>
      <w:proofErr w:type="gramEnd"/>
      <w:r w:rsidR="0074641C" w:rsidRPr="00372A51">
        <w:rPr>
          <w:rFonts w:ascii="Arial" w:hAnsi="Arial"/>
          <w:b/>
          <w:bCs/>
        </w:rPr>
        <w:t xml:space="preserve"> for each type of restatement reported.  See the 430 Narrative for disclosure requirements based on the type of restatement.</w:t>
      </w:r>
    </w:p>
    <w:p w14:paraId="7C784C5B" w14:textId="77777777" w:rsidR="006F2BCB" w:rsidRDefault="006F2BCB" w:rsidP="0074641C">
      <w:pPr>
        <w:jc w:val="both"/>
        <w:rPr>
          <w:rFonts w:ascii="Arial" w:hAnsi="Arial"/>
          <w:b/>
          <w:bCs/>
        </w:rPr>
      </w:pPr>
    </w:p>
    <w:p w14:paraId="231626AA" w14:textId="63537921" w:rsidR="006F2BCB" w:rsidRPr="00372A51" w:rsidRDefault="004B5D0F" w:rsidP="0074641C">
      <w:pPr>
        <w:jc w:val="both"/>
        <w:rPr>
          <w:rFonts w:ascii="Arial" w:hAnsi="Arial"/>
          <w:b/>
          <w:bCs/>
        </w:rPr>
      </w:pPr>
      <w:r w:rsidRPr="00BE74E7">
        <w:rPr>
          <w:rFonts w:ascii="Arial" w:hAnsi="Arial" w:cs="Arial"/>
          <w:sz w:val="36"/>
          <w:szCs w:val="36"/>
        </w:rPr>
        <w:t>•</w:t>
      </w:r>
      <w:r>
        <w:rPr>
          <w:rFonts w:ascii="Arial" w:hAnsi="Arial" w:cs="Arial"/>
          <w:sz w:val="36"/>
          <w:szCs w:val="36"/>
        </w:rPr>
        <w:tab/>
      </w:r>
      <w:r w:rsidR="006F2BCB">
        <w:rPr>
          <w:rFonts w:ascii="Arial" w:hAnsi="Arial"/>
          <w:b/>
          <w:bCs/>
        </w:rPr>
        <w:t>A 431</w:t>
      </w:r>
      <w:r w:rsidR="00FB3382">
        <w:rPr>
          <w:rFonts w:ascii="Arial" w:hAnsi="Arial"/>
          <w:b/>
          <w:bCs/>
        </w:rPr>
        <w:t>BTA (for Enterprise and Internal Service Funds) or a 431BTA-CU</w:t>
      </w:r>
      <w:r w:rsidR="00113B74">
        <w:rPr>
          <w:rFonts w:ascii="Arial" w:hAnsi="Arial"/>
          <w:b/>
          <w:bCs/>
        </w:rPr>
        <w:t xml:space="preserve"> (for </w:t>
      </w:r>
      <w:proofErr w:type="gramStart"/>
      <w:r w:rsidR="00113B74">
        <w:rPr>
          <w:rFonts w:ascii="Arial" w:hAnsi="Arial"/>
          <w:b/>
          <w:bCs/>
        </w:rPr>
        <w:t>Universities</w:t>
      </w:r>
      <w:proofErr w:type="gramEnd"/>
      <w:r w:rsidR="00113B74">
        <w:rPr>
          <w:rFonts w:ascii="Arial" w:hAnsi="Arial"/>
          <w:b/>
          <w:bCs/>
        </w:rPr>
        <w:t xml:space="preserve"> and other component units) must be completed for each restate</w:t>
      </w:r>
      <w:r w:rsidR="0077141D">
        <w:rPr>
          <w:rFonts w:ascii="Arial" w:hAnsi="Arial"/>
          <w:b/>
          <w:bCs/>
        </w:rPr>
        <w:t xml:space="preserve">ment reported on the 430BTA.  </w:t>
      </w:r>
    </w:p>
    <w:p w14:paraId="6BF36678" w14:textId="73AF0573" w:rsidR="007D2283" w:rsidRPr="00265FB4" w:rsidRDefault="007D2283" w:rsidP="00C678EA">
      <w:pPr>
        <w:jc w:val="both"/>
        <w:rPr>
          <w:rFonts w:ascii="Arial" w:hAnsi="Arial"/>
          <w:b/>
          <w:bCs/>
          <w:color w:val="FF0000"/>
        </w:rPr>
      </w:pPr>
    </w:p>
    <w:bookmarkEnd w:id="4"/>
    <w:p w14:paraId="64405B65" w14:textId="13FF1606" w:rsidR="006A29D4" w:rsidRDefault="006A29D4" w:rsidP="00C678EA">
      <w:pPr>
        <w:jc w:val="both"/>
        <w:rPr>
          <w:rFonts w:ascii="Arial" w:hAnsi="Arial"/>
        </w:rPr>
      </w:pPr>
    </w:p>
    <w:p w14:paraId="0F90D14E" w14:textId="77777777" w:rsidR="007A31B0" w:rsidRDefault="006A29D4" w:rsidP="006A29D4">
      <w:pPr>
        <w:jc w:val="both"/>
        <w:rPr>
          <w:rFonts w:ascii="Arial" w:hAnsi="Arial"/>
        </w:rPr>
      </w:pPr>
      <w:bookmarkStart w:id="5" w:name="_Hlk34657971"/>
      <w:r w:rsidRPr="00B62BC5">
        <w:rPr>
          <w:rFonts w:ascii="Arial" w:hAnsi="Arial"/>
          <w:b/>
          <w:bCs/>
          <w:u w:val="single"/>
        </w:rPr>
        <w:t>430F fiduciary activities type funds</w:t>
      </w:r>
      <w:r>
        <w:rPr>
          <w:rFonts w:ascii="Arial" w:hAnsi="Arial"/>
          <w:b/>
          <w:bCs/>
        </w:rPr>
        <w:t>:</w:t>
      </w:r>
      <w:r>
        <w:rPr>
          <w:rFonts w:ascii="Arial" w:hAnsi="Arial"/>
        </w:rPr>
        <w:t xml:space="preserve">  </w:t>
      </w:r>
      <w:bookmarkStart w:id="6" w:name="_Hlk34133538"/>
    </w:p>
    <w:p w14:paraId="40EFE525" w14:textId="3BE3EF5E" w:rsidR="00BD2114" w:rsidRDefault="007A31B0" w:rsidP="006A29D4">
      <w:pPr>
        <w:jc w:val="both"/>
        <w:rPr>
          <w:rFonts w:ascii="Arial" w:hAnsi="Arial"/>
        </w:rPr>
      </w:pPr>
      <w:r w:rsidRPr="007A31B0">
        <w:rPr>
          <w:rFonts w:ascii="Arial" w:hAnsi="Arial"/>
        </w:rPr>
        <w:t>Any</w:t>
      </w:r>
      <w:r>
        <w:rPr>
          <w:rFonts w:ascii="Arial" w:hAnsi="Arial"/>
          <w:color w:val="FF0000"/>
        </w:rPr>
        <w:t xml:space="preserve"> </w:t>
      </w:r>
      <w:r w:rsidR="00BD6028">
        <w:rPr>
          <w:rFonts w:ascii="Arial" w:hAnsi="Arial"/>
        </w:rPr>
        <w:t>restatement in a fiduciary fund should be reported on the 430</w:t>
      </w:r>
      <w:r w:rsidR="00F738CB">
        <w:rPr>
          <w:rFonts w:ascii="Arial" w:hAnsi="Arial"/>
        </w:rPr>
        <w:t xml:space="preserve">F.  </w:t>
      </w:r>
      <w:r w:rsidR="00813289">
        <w:rPr>
          <w:rFonts w:ascii="Arial" w:hAnsi="Arial"/>
        </w:rPr>
        <w:t>A separate 430F worksheet should be completed for each fiduciary fund</w:t>
      </w:r>
      <w:r w:rsidR="00A33B71">
        <w:rPr>
          <w:rFonts w:ascii="Arial" w:hAnsi="Arial"/>
        </w:rPr>
        <w:t xml:space="preserve"> </w:t>
      </w:r>
      <w:r w:rsidR="00FB4F5A">
        <w:rPr>
          <w:rFonts w:ascii="Arial" w:hAnsi="Arial"/>
        </w:rPr>
        <w:t>(by GASB) with a restatement</w:t>
      </w:r>
      <w:r w:rsidR="003A340C">
        <w:rPr>
          <w:rFonts w:ascii="Arial" w:hAnsi="Arial"/>
        </w:rPr>
        <w:t xml:space="preserve">, and </w:t>
      </w:r>
      <w:r w:rsidR="00855FAC">
        <w:rPr>
          <w:rFonts w:ascii="Arial" w:hAnsi="Arial"/>
        </w:rPr>
        <w:t>a corresponding 431F sho</w:t>
      </w:r>
      <w:r w:rsidR="00746748">
        <w:rPr>
          <w:rFonts w:ascii="Arial" w:hAnsi="Arial"/>
        </w:rPr>
        <w:t>uld also be prepared for each fiduciary fund (by GASB) for each restatement caption report</w:t>
      </w:r>
      <w:r w:rsidR="00EF2F52">
        <w:rPr>
          <w:rFonts w:ascii="Arial" w:hAnsi="Arial"/>
        </w:rPr>
        <w:t>ed</w:t>
      </w:r>
      <w:r w:rsidR="00746748">
        <w:rPr>
          <w:rFonts w:ascii="Arial" w:hAnsi="Arial"/>
        </w:rPr>
        <w:t xml:space="preserve"> on the 430F</w:t>
      </w:r>
      <w:r w:rsidR="0070080D">
        <w:rPr>
          <w:rFonts w:ascii="Arial" w:hAnsi="Arial"/>
        </w:rPr>
        <w:t>.</w:t>
      </w:r>
      <w:r w:rsidR="000F0D90">
        <w:rPr>
          <w:rFonts w:ascii="Arial" w:hAnsi="Arial"/>
        </w:rPr>
        <w:t xml:space="preserve">  </w:t>
      </w:r>
    </w:p>
    <w:p w14:paraId="1EE27D52" w14:textId="77777777" w:rsidR="00BD2114" w:rsidRDefault="00BD2114" w:rsidP="006A29D4">
      <w:pPr>
        <w:jc w:val="both"/>
        <w:rPr>
          <w:rFonts w:ascii="Arial" w:hAnsi="Arial"/>
        </w:rPr>
      </w:pPr>
    </w:p>
    <w:p w14:paraId="2ECDB74F" w14:textId="490BF6DD" w:rsidR="005B1153" w:rsidRDefault="000D6795" w:rsidP="006A29D4">
      <w:pPr>
        <w:jc w:val="both"/>
        <w:rPr>
          <w:rFonts w:ascii="Arial" w:hAnsi="Arial"/>
        </w:rPr>
      </w:pPr>
      <w:r>
        <w:rPr>
          <w:rFonts w:ascii="Arial" w:hAnsi="Arial"/>
        </w:rPr>
        <w:t xml:space="preserve">NOTE:  </w:t>
      </w:r>
      <w:r w:rsidR="006A29D4">
        <w:rPr>
          <w:rFonts w:ascii="Arial" w:hAnsi="Arial"/>
        </w:rPr>
        <w:t xml:space="preserve">The change between the prior year NET POSITION – June 30 and the </w:t>
      </w:r>
      <w:r w:rsidR="006A29D4" w:rsidRPr="00C76B45">
        <w:rPr>
          <w:rFonts w:ascii="Arial" w:hAnsi="Arial"/>
        </w:rPr>
        <w:t xml:space="preserve">current year NET POSITION – </w:t>
      </w:r>
      <w:r w:rsidR="00C76B45" w:rsidRPr="00C76B45">
        <w:rPr>
          <w:rFonts w:ascii="Arial" w:hAnsi="Arial"/>
        </w:rPr>
        <w:t>BEGINNING OF YEAR</w:t>
      </w:r>
      <w:r w:rsidR="006A29D4" w:rsidRPr="00C76B45">
        <w:rPr>
          <w:rFonts w:ascii="Arial" w:hAnsi="Arial"/>
        </w:rPr>
        <w:t xml:space="preserve"> on the </w:t>
      </w:r>
      <w:r w:rsidR="00BA10FC">
        <w:rPr>
          <w:rFonts w:ascii="Arial" w:hAnsi="Arial"/>
        </w:rPr>
        <w:t xml:space="preserve">NC ACFR </w:t>
      </w:r>
      <w:r w:rsidR="006A29D4" w:rsidRPr="00C76B45">
        <w:rPr>
          <w:rFonts w:ascii="Arial" w:hAnsi="Arial"/>
        </w:rPr>
        <w:t>54F</w:t>
      </w:r>
      <w:r w:rsidR="006A29D4">
        <w:rPr>
          <w:rFonts w:ascii="Arial" w:hAnsi="Arial"/>
        </w:rPr>
        <w:t xml:space="preserve"> should equal the total </w:t>
      </w:r>
      <w:r w:rsidR="007D79C8">
        <w:rPr>
          <w:rFonts w:ascii="Arial" w:hAnsi="Arial"/>
        </w:rPr>
        <w:t>reclassifications</w:t>
      </w:r>
      <w:r w:rsidR="006A29D4">
        <w:rPr>
          <w:rFonts w:ascii="Arial" w:hAnsi="Arial"/>
        </w:rPr>
        <w:t xml:space="preserve"> recorded in the GASB Reclassification column on the 430F worksheet. All restatements recorded in </w:t>
      </w:r>
      <w:r w:rsidR="00BA10FC">
        <w:rPr>
          <w:rFonts w:ascii="Arial" w:hAnsi="Arial"/>
        </w:rPr>
        <w:t>NCFS</w:t>
      </w:r>
      <w:r w:rsidR="006A29D4">
        <w:rPr>
          <w:rFonts w:ascii="Arial" w:hAnsi="Arial"/>
        </w:rPr>
        <w:t xml:space="preserve"> in account 3</w:t>
      </w:r>
      <w:r w:rsidR="00C4387D">
        <w:rPr>
          <w:rFonts w:ascii="Arial" w:hAnsi="Arial"/>
        </w:rPr>
        <w:t>2</w:t>
      </w:r>
      <w:r w:rsidR="006A29D4">
        <w:rPr>
          <w:rFonts w:ascii="Arial" w:hAnsi="Arial"/>
        </w:rPr>
        <w:t>0001</w:t>
      </w:r>
      <w:r w:rsidR="00C4387D">
        <w:rPr>
          <w:rFonts w:ascii="Arial" w:hAnsi="Arial"/>
        </w:rPr>
        <w:t>00</w:t>
      </w:r>
      <w:r w:rsidR="006A29D4">
        <w:rPr>
          <w:rFonts w:ascii="Arial" w:hAnsi="Arial"/>
        </w:rPr>
        <w:t xml:space="preserve"> for your fiduciary funds should equal the total restatements recorded in </w:t>
      </w:r>
      <w:bookmarkEnd w:id="6"/>
      <w:r w:rsidR="006A29D4">
        <w:rPr>
          <w:rFonts w:ascii="Arial" w:hAnsi="Arial"/>
        </w:rPr>
        <w:t xml:space="preserve">the </w:t>
      </w:r>
      <w:r w:rsidR="00AE4596">
        <w:rPr>
          <w:rFonts w:ascii="Arial" w:hAnsi="Arial"/>
        </w:rPr>
        <w:t>“</w:t>
      </w:r>
      <w:r w:rsidR="006A29D4">
        <w:rPr>
          <w:rFonts w:ascii="Arial" w:hAnsi="Arial"/>
        </w:rPr>
        <w:t>Other</w:t>
      </w:r>
      <w:r w:rsidR="00AE4596">
        <w:rPr>
          <w:rFonts w:ascii="Arial" w:hAnsi="Arial"/>
        </w:rPr>
        <w:t>”</w:t>
      </w:r>
      <w:r w:rsidR="006A29D4">
        <w:rPr>
          <w:rFonts w:ascii="Arial" w:hAnsi="Arial"/>
        </w:rPr>
        <w:t xml:space="preserve"> column on the 430F worksheet.  </w:t>
      </w:r>
    </w:p>
    <w:p w14:paraId="19A5B5D0" w14:textId="77777777" w:rsidR="0074641C" w:rsidRDefault="0074641C" w:rsidP="006A29D4">
      <w:pPr>
        <w:jc w:val="both"/>
        <w:rPr>
          <w:rFonts w:ascii="Arial" w:hAnsi="Arial"/>
        </w:rPr>
      </w:pPr>
    </w:p>
    <w:p w14:paraId="5936B4E5" w14:textId="1B1CC7D0" w:rsidR="0074641C" w:rsidRPr="00372A51" w:rsidRDefault="0074641C" w:rsidP="0074641C">
      <w:pPr>
        <w:jc w:val="both"/>
        <w:rPr>
          <w:rFonts w:ascii="Arial" w:hAnsi="Arial"/>
          <w:b/>
          <w:bCs/>
        </w:rPr>
      </w:pPr>
      <w:r>
        <w:rPr>
          <w:rFonts w:ascii="Arial" w:hAnsi="Arial"/>
          <w:b/>
          <w:bCs/>
        </w:rPr>
        <w:lastRenderedPageBreak/>
        <w:t xml:space="preserve">GASB 100 – Accounting Changes and Error Corrections </w:t>
      </w:r>
      <w:r w:rsidR="00D23D8A">
        <w:rPr>
          <w:rFonts w:ascii="Arial" w:hAnsi="Arial"/>
          <w:b/>
          <w:bCs/>
        </w:rPr>
        <w:t>was</w:t>
      </w:r>
      <w:r>
        <w:rPr>
          <w:rFonts w:ascii="Arial" w:hAnsi="Arial"/>
          <w:b/>
          <w:bCs/>
        </w:rPr>
        <w:t xml:space="preserve"> implemented in FY 2024, which requires new disclosures.  The 430 Narrative must</w:t>
      </w:r>
      <w:r w:rsidRPr="00372A51">
        <w:rPr>
          <w:rFonts w:ascii="Arial" w:hAnsi="Arial"/>
          <w:b/>
          <w:bCs/>
        </w:rPr>
        <w:t xml:space="preserve"> be completed for all entities that prepare </w:t>
      </w:r>
      <w:proofErr w:type="gramStart"/>
      <w:r>
        <w:rPr>
          <w:rFonts w:ascii="Arial" w:hAnsi="Arial"/>
          <w:b/>
          <w:bCs/>
        </w:rPr>
        <w:t>worksheet</w:t>
      </w:r>
      <w:r w:rsidRPr="00372A51">
        <w:rPr>
          <w:rFonts w:ascii="Arial" w:hAnsi="Arial"/>
          <w:b/>
          <w:bCs/>
        </w:rPr>
        <w:t xml:space="preserve"> 430</w:t>
      </w:r>
      <w:proofErr w:type="gramEnd"/>
      <w:r w:rsidRPr="00372A51">
        <w:rPr>
          <w:rFonts w:ascii="Arial" w:hAnsi="Arial"/>
          <w:b/>
          <w:bCs/>
        </w:rPr>
        <w:t xml:space="preserve"> for each type of restatement reported.  See the 430 Narrative for disclosure requirements based on the type of restatement.</w:t>
      </w:r>
    </w:p>
    <w:p w14:paraId="05B70490" w14:textId="77777777" w:rsidR="0074641C" w:rsidRDefault="0074641C" w:rsidP="006A29D4">
      <w:pPr>
        <w:jc w:val="both"/>
        <w:rPr>
          <w:rFonts w:ascii="Arial" w:hAnsi="Arial"/>
        </w:rPr>
      </w:pPr>
    </w:p>
    <w:bookmarkEnd w:id="5"/>
    <w:p w14:paraId="341FA96F" w14:textId="77777777" w:rsidR="00372A51" w:rsidRDefault="00372A51">
      <w:pPr>
        <w:jc w:val="both"/>
        <w:rPr>
          <w:rFonts w:ascii="Arial" w:hAnsi="Arial"/>
          <w:b/>
          <w:smallCaps/>
          <w:sz w:val="24"/>
          <w:u w:val="single"/>
        </w:rPr>
      </w:pPr>
    </w:p>
    <w:p w14:paraId="186211BB" w14:textId="775C89CE" w:rsidR="004E46A3" w:rsidRDefault="004E46A3">
      <w:pPr>
        <w:jc w:val="both"/>
        <w:rPr>
          <w:rFonts w:ascii="Arial" w:hAnsi="Arial"/>
          <w:b/>
          <w:smallCaps/>
          <w:sz w:val="24"/>
          <w:u w:val="single"/>
        </w:rPr>
      </w:pPr>
      <w:r>
        <w:rPr>
          <w:rFonts w:ascii="Arial" w:hAnsi="Arial"/>
          <w:b/>
          <w:smallCaps/>
          <w:sz w:val="24"/>
          <w:u w:val="single"/>
        </w:rPr>
        <w:t>Fund Equity Restatement, Part 2 (</w:t>
      </w:r>
      <w:r>
        <w:rPr>
          <w:rFonts w:ascii="Arial" w:hAnsi="Arial"/>
          <w:b/>
          <w:sz w:val="24"/>
          <w:u w:val="single"/>
        </w:rPr>
        <w:t>431</w:t>
      </w:r>
      <w:r w:rsidR="00B22EF1">
        <w:rPr>
          <w:rFonts w:ascii="Arial" w:hAnsi="Arial"/>
          <w:b/>
          <w:sz w:val="24"/>
          <w:u w:val="single"/>
        </w:rPr>
        <w:t>G</w:t>
      </w:r>
      <w:r w:rsidR="0034121D">
        <w:rPr>
          <w:rFonts w:ascii="Arial" w:hAnsi="Arial"/>
          <w:b/>
          <w:sz w:val="24"/>
          <w:u w:val="single"/>
        </w:rPr>
        <w:t>,</w:t>
      </w:r>
      <w:r w:rsidR="00B22EF1">
        <w:rPr>
          <w:rFonts w:ascii="Arial" w:hAnsi="Arial"/>
          <w:b/>
          <w:sz w:val="24"/>
          <w:u w:val="single"/>
        </w:rPr>
        <w:t xml:space="preserve"> 431BTA</w:t>
      </w:r>
      <w:r w:rsidR="0034121D">
        <w:rPr>
          <w:rFonts w:ascii="Arial" w:hAnsi="Arial"/>
          <w:b/>
          <w:sz w:val="24"/>
          <w:u w:val="single"/>
        </w:rPr>
        <w:t>, 431BTA-CU and 431F</w:t>
      </w:r>
      <w:r>
        <w:rPr>
          <w:rFonts w:ascii="Arial" w:hAnsi="Arial"/>
          <w:b/>
          <w:smallCaps/>
          <w:sz w:val="24"/>
          <w:u w:val="single"/>
        </w:rPr>
        <w:t>)</w:t>
      </w:r>
    </w:p>
    <w:p w14:paraId="054EED88" w14:textId="77777777" w:rsidR="004E46A3" w:rsidRDefault="004E46A3">
      <w:pPr>
        <w:jc w:val="both"/>
        <w:rPr>
          <w:rFonts w:ascii="Arial" w:hAnsi="Arial"/>
        </w:rPr>
      </w:pPr>
    </w:p>
    <w:p w14:paraId="225B45EE" w14:textId="356E31A2" w:rsidR="00EE0C50" w:rsidRPr="005E45A0" w:rsidRDefault="005E45A0" w:rsidP="003F2400">
      <w:pPr>
        <w:jc w:val="both"/>
        <w:rPr>
          <w:rFonts w:ascii="Arial" w:hAnsi="Arial"/>
          <w:b/>
          <w:i/>
          <w:iCs/>
          <w:color w:val="FF0000"/>
          <w:sz w:val="24"/>
          <w:szCs w:val="24"/>
        </w:rPr>
      </w:pPr>
      <w:r w:rsidRPr="005E45A0">
        <w:rPr>
          <w:rFonts w:ascii="Arial" w:hAnsi="Arial"/>
          <w:b/>
          <w:i/>
          <w:iCs/>
          <w:color w:val="FF0000"/>
          <w:sz w:val="24"/>
          <w:szCs w:val="24"/>
        </w:rPr>
        <w:t xml:space="preserve">NEW Requirements </w:t>
      </w:r>
      <w:r w:rsidR="002F45F8">
        <w:rPr>
          <w:rFonts w:ascii="Arial" w:hAnsi="Arial"/>
          <w:b/>
          <w:i/>
          <w:iCs/>
          <w:color w:val="FF0000"/>
          <w:sz w:val="24"/>
          <w:szCs w:val="24"/>
        </w:rPr>
        <w:t>related to the implementation of GASB 100</w:t>
      </w:r>
    </w:p>
    <w:p w14:paraId="229686EA" w14:textId="6AE7C699" w:rsidR="00B22EF1" w:rsidRDefault="00EE0C50" w:rsidP="003F2400">
      <w:pPr>
        <w:jc w:val="both"/>
        <w:rPr>
          <w:rFonts w:ascii="Arial" w:hAnsi="Arial"/>
          <w:b/>
        </w:rPr>
      </w:pPr>
      <w:r>
        <w:rPr>
          <w:rFonts w:ascii="Arial" w:hAnsi="Arial"/>
          <w:b/>
        </w:rPr>
        <w:t xml:space="preserve">Prepare a separate 431 for </w:t>
      </w:r>
      <w:r w:rsidR="00130EA5">
        <w:rPr>
          <w:rFonts w:ascii="Arial" w:hAnsi="Arial"/>
          <w:b/>
        </w:rPr>
        <w:t>EACH</w:t>
      </w:r>
      <w:r>
        <w:rPr>
          <w:rFonts w:ascii="Arial" w:hAnsi="Arial"/>
          <w:b/>
        </w:rPr>
        <w:t xml:space="preserve"> GASB with a restatement</w:t>
      </w:r>
      <w:r w:rsidR="00401E2C">
        <w:rPr>
          <w:rFonts w:ascii="Arial" w:hAnsi="Arial"/>
          <w:b/>
        </w:rPr>
        <w:t xml:space="preserve">.  </w:t>
      </w:r>
      <w:r>
        <w:rPr>
          <w:rFonts w:ascii="Arial" w:hAnsi="Arial"/>
          <w:b/>
        </w:rPr>
        <w:t>R</w:t>
      </w:r>
      <w:r w:rsidR="004E46A3" w:rsidRPr="00B22EF1">
        <w:rPr>
          <w:rFonts w:ascii="Arial" w:hAnsi="Arial"/>
          <w:b/>
        </w:rPr>
        <w:t xml:space="preserve">eport the restatements as they would have </w:t>
      </w:r>
      <w:r w:rsidR="00B22EF1">
        <w:rPr>
          <w:rFonts w:ascii="Arial" w:hAnsi="Arial"/>
          <w:b/>
        </w:rPr>
        <w:t>impacted</w:t>
      </w:r>
      <w:r w:rsidR="004E46A3" w:rsidRPr="00B22EF1">
        <w:rPr>
          <w:rFonts w:ascii="Arial" w:hAnsi="Arial"/>
          <w:b/>
        </w:rPr>
        <w:t xml:space="preserve"> the </w:t>
      </w:r>
      <w:r w:rsidR="00561936">
        <w:rPr>
          <w:rFonts w:ascii="Arial" w:hAnsi="Arial"/>
          <w:b/>
        </w:rPr>
        <w:t>prior year</w:t>
      </w:r>
      <w:r w:rsidR="004E46A3" w:rsidRPr="00B22EF1">
        <w:rPr>
          <w:rFonts w:ascii="Arial" w:hAnsi="Arial"/>
          <w:b/>
        </w:rPr>
        <w:t xml:space="preserve"> financial statements.</w:t>
      </w:r>
      <w:r w:rsidR="004E46A3">
        <w:rPr>
          <w:rFonts w:ascii="Arial" w:hAnsi="Arial"/>
        </w:rPr>
        <w:t xml:space="preserve">  </w:t>
      </w:r>
      <w:r w:rsidR="00C00F14" w:rsidRPr="00C00F14">
        <w:rPr>
          <w:rFonts w:ascii="Arial" w:hAnsi="Arial"/>
          <w:b/>
        </w:rPr>
        <w:t xml:space="preserve">The information </w:t>
      </w:r>
      <w:r w:rsidR="00635EA5">
        <w:rPr>
          <w:rFonts w:ascii="Arial" w:hAnsi="Arial"/>
          <w:b/>
        </w:rPr>
        <w:t xml:space="preserve">provided </w:t>
      </w:r>
      <w:r w:rsidR="00C00F14">
        <w:rPr>
          <w:rFonts w:ascii="Arial" w:hAnsi="Arial"/>
          <w:b/>
        </w:rPr>
        <w:t>from this worksheet</w:t>
      </w:r>
      <w:r w:rsidR="0011006B">
        <w:rPr>
          <w:rFonts w:ascii="Arial" w:hAnsi="Arial"/>
          <w:b/>
        </w:rPr>
        <w:t xml:space="preserve"> will </w:t>
      </w:r>
      <w:r w:rsidR="00563F88">
        <w:rPr>
          <w:rFonts w:ascii="Arial" w:hAnsi="Arial"/>
          <w:b/>
        </w:rPr>
        <w:t xml:space="preserve">be used in </w:t>
      </w:r>
      <w:r w:rsidR="0011006B">
        <w:rPr>
          <w:rFonts w:ascii="Arial" w:hAnsi="Arial"/>
          <w:b/>
        </w:rPr>
        <w:t xml:space="preserve">the new </w:t>
      </w:r>
      <w:r w:rsidR="00563F88">
        <w:rPr>
          <w:rFonts w:ascii="Arial" w:hAnsi="Arial"/>
          <w:b/>
        </w:rPr>
        <w:t xml:space="preserve">restatement </w:t>
      </w:r>
      <w:r w:rsidR="0011006B">
        <w:rPr>
          <w:rFonts w:ascii="Arial" w:hAnsi="Arial"/>
          <w:b/>
        </w:rPr>
        <w:t xml:space="preserve">note disclosures required </w:t>
      </w:r>
      <w:r w:rsidR="00563F88">
        <w:rPr>
          <w:rFonts w:ascii="Arial" w:hAnsi="Arial"/>
          <w:b/>
        </w:rPr>
        <w:t>under</w:t>
      </w:r>
      <w:r w:rsidR="0011006B">
        <w:rPr>
          <w:rFonts w:ascii="Arial" w:hAnsi="Arial"/>
          <w:b/>
        </w:rPr>
        <w:t xml:space="preserve"> GASB 100 and will also be</w:t>
      </w:r>
      <w:r w:rsidR="00C00F14" w:rsidRPr="00C00F14">
        <w:rPr>
          <w:rFonts w:ascii="Arial" w:hAnsi="Arial"/>
          <w:b/>
        </w:rPr>
        <w:t xml:space="preserve"> used to complete the</w:t>
      </w:r>
      <w:r w:rsidR="00D06F39">
        <w:rPr>
          <w:rFonts w:ascii="Arial" w:hAnsi="Arial"/>
          <w:b/>
        </w:rPr>
        <w:t xml:space="preserve"> </w:t>
      </w:r>
      <w:r w:rsidR="00C00F14" w:rsidRPr="00C00F14">
        <w:rPr>
          <w:rFonts w:ascii="Arial" w:hAnsi="Arial"/>
          <w:b/>
        </w:rPr>
        <w:t>tables</w:t>
      </w:r>
      <w:r w:rsidR="00D134F6">
        <w:rPr>
          <w:rFonts w:ascii="Arial" w:hAnsi="Arial"/>
          <w:b/>
        </w:rPr>
        <w:t xml:space="preserve"> found in the section</w:t>
      </w:r>
      <w:r w:rsidR="00C00F14" w:rsidRPr="00C00F14">
        <w:rPr>
          <w:rFonts w:ascii="Arial" w:hAnsi="Arial"/>
          <w:b/>
        </w:rPr>
        <w:t xml:space="preserve"> </w:t>
      </w:r>
      <w:r w:rsidR="00A42D38">
        <w:rPr>
          <w:rFonts w:ascii="Arial" w:hAnsi="Arial"/>
          <w:b/>
        </w:rPr>
        <w:t>“F</w:t>
      </w:r>
      <w:r w:rsidR="00D6127D">
        <w:rPr>
          <w:rFonts w:ascii="Arial" w:hAnsi="Arial"/>
          <w:b/>
        </w:rPr>
        <w:t xml:space="preserve">inancial </w:t>
      </w:r>
      <w:r w:rsidR="00A42D38">
        <w:rPr>
          <w:rFonts w:ascii="Arial" w:hAnsi="Arial"/>
          <w:b/>
        </w:rPr>
        <w:t>A</w:t>
      </w:r>
      <w:r w:rsidR="00D6127D">
        <w:rPr>
          <w:rFonts w:ascii="Arial" w:hAnsi="Arial"/>
          <w:b/>
        </w:rPr>
        <w:t>nalysis</w:t>
      </w:r>
      <w:r w:rsidR="00A42D38">
        <w:rPr>
          <w:rFonts w:ascii="Arial" w:hAnsi="Arial"/>
          <w:b/>
        </w:rPr>
        <w:t xml:space="preserve"> of the S</w:t>
      </w:r>
      <w:r w:rsidR="00D6127D">
        <w:rPr>
          <w:rFonts w:ascii="Arial" w:hAnsi="Arial"/>
          <w:b/>
        </w:rPr>
        <w:t xml:space="preserve">tate as a </w:t>
      </w:r>
      <w:r w:rsidR="00A42D38">
        <w:rPr>
          <w:rFonts w:ascii="Arial" w:hAnsi="Arial"/>
          <w:b/>
        </w:rPr>
        <w:t>W</w:t>
      </w:r>
      <w:r w:rsidR="00D6127D">
        <w:rPr>
          <w:rFonts w:ascii="Arial" w:hAnsi="Arial"/>
          <w:b/>
        </w:rPr>
        <w:t>hole</w:t>
      </w:r>
      <w:r w:rsidR="00A42D38">
        <w:rPr>
          <w:rFonts w:ascii="Arial" w:hAnsi="Arial"/>
          <w:b/>
        </w:rPr>
        <w:t>”</w:t>
      </w:r>
      <w:r w:rsidR="00D06F39">
        <w:rPr>
          <w:rFonts w:ascii="Arial" w:hAnsi="Arial"/>
          <w:b/>
        </w:rPr>
        <w:t xml:space="preserve"> </w:t>
      </w:r>
      <w:r w:rsidR="00D6127D">
        <w:rPr>
          <w:rFonts w:ascii="Arial" w:hAnsi="Arial"/>
          <w:b/>
        </w:rPr>
        <w:t>within the MD&amp;A.</w:t>
      </w:r>
    </w:p>
    <w:p w14:paraId="03C2957B" w14:textId="77777777" w:rsidR="00D6127D" w:rsidRPr="00D6127D" w:rsidRDefault="00D6127D" w:rsidP="003F2400">
      <w:pPr>
        <w:jc w:val="both"/>
        <w:rPr>
          <w:rFonts w:ascii="Arial" w:hAnsi="Arial"/>
          <w:b/>
        </w:rPr>
      </w:pPr>
    </w:p>
    <w:p w14:paraId="2ABBF092" w14:textId="76050459" w:rsidR="00714338" w:rsidRDefault="00B22EF1" w:rsidP="003F2400">
      <w:pPr>
        <w:jc w:val="both"/>
        <w:rPr>
          <w:rFonts w:ascii="Arial" w:hAnsi="Arial"/>
        </w:rPr>
      </w:pPr>
      <w:r w:rsidRPr="00714338">
        <w:rPr>
          <w:rFonts w:ascii="Arial" w:hAnsi="Arial"/>
          <w:b/>
          <w:u w:val="single"/>
        </w:rPr>
        <w:t xml:space="preserve">431G </w:t>
      </w:r>
      <w:r w:rsidR="00C36BED">
        <w:rPr>
          <w:rFonts w:ascii="Arial" w:hAnsi="Arial"/>
          <w:b/>
          <w:u w:val="single"/>
        </w:rPr>
        <w:t>G</w:t>
      </w:r>
      <w:r w:rsidRPr="00714338">
        <w:rPr>
          <w:rFonts w:ascii="Arial" w:hAnsi="Arial"/>
          <w:b/>
          <w:u w:val="single"/>
        </w:rPr>
        <w:t xml:space="preserve">overnmental </w:t>
      </w:r>
      <w:r w:rsidR="00C36BED">
        <w:rPr>
          <w:rFonts w:ascii="Arial" w:hAnsi="Arial"/>
          <w:b/>
          <w:u w:val="single"/>
        </w:rPr>
        <w:t>F</w:t>
      </w:r>
      <w:r w:rsidRPr="00714338">
        <w:rPr>
          <w:rFonts w:ascii="Arial" w:hAnsi="Arial"/>
          <w:b/>
          <w:u w:val="single"/>
        </w:rPr>
        <w:t>unds</w:t>
      </w:r>
      <w:r w:rsidR="004B2627">
        <w:rPr>
          <w:rFonts w:ascii="Arial" w:hAnsi="Arial"/>
          <w:b/>
          <w:u w:val="single"/>
        </w:rPr>
        <w:t xml:space="preserve"> (</w:t>
      </w:r>
      <w:r w:rsidR="004D750C">
        <w:rPr>
          <w:rFonts w:ascii="Arial" w:hAnsi="Arial"/>
          <w:b/>
          <w:u w:val="single"/>
        </w:rPr>
        <w:t xml:space="preserve">Restatements </w:t>
      </w:r>
      <w:r w:rsidR="004B2627">
        <w:rPr>
          <w:rFonts w:ascii="Arial" w:hAnsi="Arial"/>
          <w:b/>
          <w:u w:val="single"/>
        </w:rPr>
        <w:t>Part 2 of 2)</w:t>
      </w:r>
      <w:r w:rsidRPr="00714338">
        <w:rPr>
          <w:rFonts w:ascii="Arial" w:hAnsi="Arial"/>
          <w:b/>
          <w:u w:val="single"/>
        </w:rPr>
        <w:t>:</w:t>
      </w:r>
      <w:r>
        <w:rPr>
          <w:rFonts w:ascii="Arial" w:hAnsi="Arial"/>
        </w:rPr>
        <w:t xml:space="preserve">  </w:t>
      </w:r>
    </w:p>
    <w:p w14:paraId="6FF2C0E7" w14:textId="021CCD34" w:rsidR="00BD402F" w:rsidRPr="00C461FF" w:rsidRDefault="004929CA" w:rsidP="003F2400">
      <w:pPr>
        <w:jc w:val="both"/>
        <w:rPr>
          <w:rFonts w:ascii="Arial" w:hAnsi="Arial"/>
          <w:b/>
          <w:bCs/>
        </w:rPr>
      </w:pPr>
      <w:r>
        <w:rPr>
          <w:rFonts w:ascii="Arial" w:hAnsi="Arial"/>
        </w:rPr>
        <w:t>1)</w:t>
      </w:r>
      <w:r w:rsidR="00B22EF1">
        <w:rPr>
          <w:rFonts w:ascii="Arial" w:hAnsi="Arial"/>
        </w:rPr>
        <w:t xml:space="preserve"> </w:t>
      </w:r>
      <w:r w:rsidR="00723915">
        <w:rPr>
          <w:rFonts w:ascii="Arial" w:hAnsi="Arial"/>
        </w:rPr>
        <w:t xml:space="preserve">Prepare a 431G for EACH governmental fund with restatements.  </w:t>
      </w:r>
      <w:r w:rsidR="002564C1">
        <w:rPr>
          <w:rFonts w:ascii="Arial" w:hAnsi="Arial"/>
        </w:rPr>
        <w:t>All general funds will be identified as GASB 11XX</w:t>
      </w:r>
      <w:r w:rsidR="007C5534">
        <w:rPr>
          <w:rFonts w:ascii="Arial" w:hAnsi="Arial"/>
        </w:rPr>
        <w:t xml:space="preserve"> and only one 431G should be completed for all general fund GASBs.  </w:t>
      </w:r>
      <w:r w:rsidR="00A475C6">
        <w:rPr>
          <w:rFonts w:ascii="Arial" w:hAnsi="Arial"/>
        </w:rPr>
        <w:t xml:space="preserve">But </w:t>
      </w:r>
      <w:r w:rsidR="00BD402F">
        <w:rPr>
          <w:rFonts w:ascii="Arial" w:hAnsi="Arial"/>
        </w:rPr>
        <w:t xml:space="preserve">a separate 431G should be completed for </w:t>
      </w:r>
      <w:r w:rsidR="00A475C6">
        <w:rPr>
          <w:rFonts w:ascii="Arial" w:hAnsi="Arial"/>
        </w:rPr>
        <w:t>each specific special revenue fund, capital fund and permanent fund</w:t>
      </w:r>
      <w:r w:rsidR="00BD402F">
        <w:rPr>
          <w:rFonts w:ascii="Arial" w:hAnsi="Arial"/>
        </w:rPr>
        <w:t>.</w:t>
      </w:r>
      <w:r w:rsidR="003909DF">
        <w:rPr>
          <w:rFonts w:ascii="Arial" w:hAnsi="Arial"/>
        </w:rPr>
        <w:t xml:space="preserve">  </w:t>
      </w:r>
      <w:r w:rsidR="003C5888">
        <w:rPr>
          <w:rFonts w:ascii="Arial" w:hAnsi="Arial"/>
        </w:rPr>
        <w:t xml:space="preserve">And a separate 431G is also required for capital asset restatements </w:t>
      </w:r>
      <w:r w:rsidR="004D11E6">
        <w:rPr>
          <w:rFonts w:ascii="Arial" w:hAnsi="Arial"/>
        </w:rPr>
        <w:t xml:space="preserve">(GASB 5100) and for Long-term </w:t>
      </w:r>
      <w:r w:rsidR="00B87BCA">
        <w:rPr>
          <w:rFonts w:ascii="Arial" w:hAnsi="Arial"/>
        </w:rPr>
        <w:t>debt restatements reported on the 305 (GASB 5200)</w:t>
      </w:r>
      <w:r w:rsidR="00BD402F">
        <w:rPr>
          <w:rFonts w:ascii="Arial" w:hAnsi="Arial"/>
        </w:rPr>
        <w:t>.</w:t>
      </w:r>
      <w:r w:rsidR="003909DF">
        <w:rPr>
          <w:rFonts w:ascii="Arial" w:hAnsi="Arial"/>
        </w:rPr>
        <w:t xml:space="preserve">  </w:t>
      </w:r>
      <w:r w:rsidR="00652802">
        <w:rPr>
          <w:rFonts w:ascii="Arial" w:hAnsi="Arial"/>
          <w:b/>
          <w:bCs/>
        </w:rPr>
        <w:t>For each 431G</w:t>
      </w:r>
      <w:r w:rsidR="00BB04C1">
        <w:rPr>
          <w:rFonts w:ascii="Arial" w:hAnsi="Arial"/>
          <w:b/>
          <w:bCs/>
        </w:rPr>
        <w:t xml:space="preserve">, a </w:t>
      </w:r>
      <w:r w:rsidR="00BB04C1" w:rsidRPr="00BC27E5">
        <w:rPr>
          <w:rFonts w:ascii="Arial" w:hAnsi="Arial"/>
          <w:b/>
          <w:bCs/>
          <w:color w:val="0070C0"/>
        </w:rPr>
        <w:t>Function</w:t>
      </w:r>
      <w:r w:rsidR="00744E34">
        <w:rPr>
          <w:rFonts w:ascii="Arial" w:hAnsi="Arial"/>
          <w:b/>
          <w:bCs/>
        </w:rPr>
        <w:t xml:space="preserve"> and a </w:t>
      </w:r>
      <w:r w:rsidR="00744E34" w:rsidRPr="00BC27E5">
        <w:rPr>
          <w:rFonts w:ascii="Arial" w:hAnsi="Arial"/>
          <w:b/>
          <w:bCs/>
          <w:color w:val="0070C0"/>
        </w:rPr>
        <w:t>GASB</w:t>
      </w:r>
      <w:r w:rsidR="00744E34">
        <w:rPr>
          <w:rFonts w:ascii="Arial" w:hAnsi="Arial"/>
          <w:b/>
          <w:bCs/>
        </w:rPr>
        <w:t xml:space="preserve"> </w:t>
      </w:r>
      <w:r w:rsidR="00AE0EE7">
        <w:rPr>
          <w:rFonts w:ascii="Arial" w:hAnsi="Arial"/>
          <w:b/>
          <w:bCs/>
        </w:rPr>
        <w:t>should be selected from the drop-down</w:t>
      </w:r>
      <w:r w:rsidR="00197DB4">
        <w:rPr>
          <w:rFonts w:ascii="Arial" w:hAnsi="Arial"/>
          <w:b/>
          <w:bCs/>
        </w:rPr>
        <w:t xml:space="preserve"> menus provided</w:t>
      </w:r>
      <w:r w:rsidR="0055571D">
        <w:rPr>
          <w:rFonts w:ascii="Arial" w:hAnsi="Arial"/>
          <w:b/>
          <w:bCs/>
        </w:rPr>
        <w:t xml:space="preserve"> </w:t>
      </w:r>
      <w:r w:rsidR="00D101E0">
        <w:rPr>
          <w:rFonts w:ascii="Arial" w:hAnsi="Arial"/>
          <w:b/>
          <w:bCs/>
        </w:rPr>
        <w:t>in the header section of the worksheet</w:t>
      </w:r>
      <w:r w:rsidR="00C461FF" w:rsidRPr="00C461FF">
        <w:rPr>
          <w:rFonts w:ascii="Arial" w:hAnsi="Arial"/>
          <w:b/>
          <w:bCs/>
        </w:rPr>
        <w:t>.</w:t>
      </w:r>
    </w:p>
    <w:p w14:paraId="66002CE9" w14:textId="77777777" w:rsidR="00BD402F" w:rsidRDefault="00BD402F" w:rsidP="003F2400">
      <w:pPr>
        <w:jc w:val="both"/>
        <w:rPr>
          <w:rFonts w:ascii="Arial" w:hAnsi="Arial"/>
        </w:rPr>
      </w:pPr>
    </w:p>
    <w:p w14:paraId="5AED3452" w14:textId="435B8EC7" w:rsidR="00B13705" w:rsidRDefault="00394D16" w:rsidP="003F2400">
      <w:pPr>
        <w:jc w:val="both"/>
        <w:rPr>
          <w:rFonts w:ascii="Arial" w:hAnsi="Arial"/>
        </w:rPr>
      </w:pPr>
      <w:r>
        <w:rPr>
          <w:rFonts w:ascii="Arial" w:hAnsi="Arial"/>
        </w:rPr>
        <w:t>2</w:t>
      </w:r>
      <w:r w:rsidR="0077120A">
        <w:rPr>
          <w:rFonts w:ascii="Arial" w:hAnsi="Arial"/>
        </w:rPr>
        <w:t xml:space="preserve">) </w:t>
      </w:r>
      <w:r w:rsidR="00FC641F">
        <w:rPr>
          <w:rFonts w:ascii="Arial" w:hAnsi="Arial"/>
        </w:rPr>
        <w:t xml:space="preserve">Key </w:t>
      </w:r>
      <w:r w:rsidR="00B57841">
        <w:rPr>
          <w:rFonts w:ascii="Arial" w:hAnsi="Arial"/>
        </w:rPr>
        <w:t xml:space="preserve">only </w:t>
      </w:r>
      <w:r w:rsidR="00FC641F">
        <w:rPr>
          <w:rFonts w:ascii="Arial" w:hAnsi="Arial"/>
        </w:rPr>
        <w:t>the 6/30</w:t>
      </w:r>
      <w:r w:rsidR="00B57841">
        <w:rPr>
          <w:rFonts w:ascii="Arial" w:hAnsi="Arial"/>
        </w:rPr>
        <w:t>/</w:t>
      </w:r>
      <w:r w:rsidR="00A02DB8">
        <w:rPr>
          <w:rFonts w:ascii="Arial" w:hAnsi="Arial"/>
        </w:rPr>
        <w:t>2</w:t>
      </w:r>
      <w:r w:rsidR="00BC7D7A">
        <w:rPr>
          <w:rFonts w:ascii="Arial" w:hAnsi="Arial"/>
        </w:rPr>
        <w:t>024</w:t>
      </w:r>
      <w:r w:rsidR="00FC641F">
        <w:rPr>
          <w:rFonts w:ascii="Arial" w:hAnsi="Arial"/>
        </w:rPr>
        <w:t xml:space="preserve"> balances </w:t>
      </w:r>
      <w:r w:rsidR="00ED0A68">
        <w:rPr>
          <w:rFonts w:ascii="Arial" w:hAnsi="Arial"/>
        </w:rPr>
        <w:t xml:space="preserve">for statement captions </w:t>
      </w:r>
      <w:r w:rsidR="00B57841">
        <w:rPr>
          <w:rFonts w:ascii="Arial" w:hAnsi="Arial"/>
        </w:rPr>
        <w:t>impacted</w:t>
      </w:r>
      <w:r w:rsidR="00ED0A68">
        <w:rPr>
          <w:rFonts w:ascii="Arial" w:hAnsi="Arial"/>
        </w:rPr>
        <w:t xml:space="preserve"> by the restatement </w:t>
      </w:r>
      <w:r w:rsidR="00FC641F">
        <w:rPr>
          <w:rFonts w:ascii="Arial" w:hAnsi="Arial"/>
        </w:rPr>
        <w:t xml:space="preserve">as they appear on the </w:t>
      </w:r>
      <w:r w:rsidR="002A536D">
        <w:rPr>
          <w:rFonts w:ascii="Arial" w:hAnsi="Arial"/>
        </w:rPr>
        <w:t xml:space="preserve">NC ACFR </w:t>
      </w:r>
      <w:r w:rsidR="00020916">
        <w:rPr>
          <w:rFonts w:ascii="Arial" w:hAnsi="Arial"/>
        </w:rPr>
        <w:t>11G/52G</w:t>
      </w:r>
      <w:r w:rsidR="00FC641F">
        <w:rPr>
          <w:rFonts w:ascii="Arial" w:hAnsi="Arial"/>
        </w:rPr>
        <w:t xml:space="preserve"> reports</w:t>
      </w:r>
      <w:r w:rsidR="000E0B36">
        <w:rPr>
          <w:rFonts w:ascii="Arial" w:hAnsi="Arial"/>
        </w:rPr>
        <w:t>.  S</w:t>
      </w:r>
      <w:r w:rsidR="00C2661E">
        <w:rPr>
          <w:rFonts w:ascii="Arial" w:hAnsi="Arial"/>
        </w:rPr>
        <w:t xml:space="preserve">how </w:t>
      </w:r>
      <w:r w:rsidR="00FC641F">
        <w:rPr>
          <w:rFonts w:ascii="Arial" w:hAnsi="Arial"/>
        </w:rPr>
        <w:t>increases as positive</w:t>
      </w:r>
      <w:r w:rsidR="005B023E">
        <w:rPr>
          <w:rFonts w:ascii="Arial" w:hAnsi="Arial"/>
        </w:rPr>
        <w:t>s</w:t>
      </w:r>
      <w:r w:rsidR="00B13705">
        <w:rPr>
          <w:rFonts w:ascii="Arial" w:hAnsi="Arial"/>
        </w:rPr>
        <w:t xml:space="preserve"> and decreases as negatives</w:t>
      </w:r>
      <w:r w:rsidR="004D0D4B">
        <w:rPr>
          <w:rFonts w:ascii="Arial" w:hAnsi="Arial"/>
        </w:rPr>
        <w:t xml:space="preserve"> in the </w:t>
      </w:r>
      <w:r w:rsidR="00BC289F">
        <w:rPr>
          <w:rFonts w:ascii="Arial" w:hAnsi="Arial"/>
        </w:rPr>
        <w:t>R</w:t>
      </w:r>
      <w:r w:rsidR="004D0D4B">
        <w:rPr>
          <w:rFonts w:ascii="Arial" w:hAnsi="Arial"/>
        </w:rPr>
        <w:t>estatement</w:t>
      </w:r>
      <w:r w:rsidR="00BC289F">
        <w:rPr>
          <w:rFonts w:ascii="Arial" w:hAnsi="Arial"/>
        </w:rPr>
        <w:t>s</w:t>
      </w:r>
      <w:r w:rsidR="004D0D4B">
        <w:rPr>
          <w:rFonts w:ascii="Arial" w:hAnsi="Arial"/>
        </w:rPr>
        <w:t xml:space="preserve"> column</w:t>
      </w:r>
      <w:r w:rsidR="00FC641F">
        <w:rPr>
          <w:rFonts w:ascii="Arial" w:hAnsi="Arial"/>
        </w:rPr>
        <w:t xml:space="preserve">.  </w:t>
      </w:r>
      <w:r w:rsidR="004703CF">
        <w:rPr>
          <w:rFonts w:ascii="Arial" w:hAnsi="Arial"/>
        </w:rPr>
        <w:t xml:space="preserve">Balance sheet and operating statement changes are calculated based on the caption type and sign.  For example, an increase to </w:t>
      </w:r>
      <w:proofErr w:type="gramStart"/>
      <w:r w:rsidR="004703CF">
        <w:rPr>
          <w:rFonts w:ascii="Arial" w:hAnsi="Arial"/>
        </w:rPr>
        <w:t>a liability</w:t>
      </w:r>
      <w:proofErr w:type="gramEnd"/>
      <w:r w:rsidR="004703CF">
        <w:rPr>
          <w:rFonts w:ascii="Arial" w:hAnsi="Arial"/>
        </w:rPr>
        <w:t xml:space="preserve"> </w:t>
      </w:r>
      <w:r w:rsidR="008331DE">
        <w:rPr>
          <w:rFonts w:ascii="Arial" w:hAnsi="Arial"/>
        </w:rPr>
        <w:t>should be entered</w:t>
      </w:r>
      <w:r w:rsidR="004703CF">
        <w:rPr>
          <w:rFonts w:ascii="Arial" w:hAnsi="Arial"/>
        </w:rPr>
        <w:t xml:space="preserve"> as positive</w:t>
      </w:r>
      <w:r w:rsidR="008331DE">
        <w:rPr>
          <w:rFonts w:ascii="Arial" w:hAnsi="Arial"/>
        </w:rPr>
        <w:t xml:space="preserve"> amount</w:t>
      </w:r>
      <w:r w:rsidR="004703CF">
        <w:rPr>
          <w:rFonts w:ascii="Arial" w:hAnsi="Arial"/>
        </w:rPr>
        <w:t xml:space="preserve"> on the worksheet but </w:t>
      </w:r>
      <w:r w:rsidR="008331DE">
        <w:rPr>
          <w:rFonts w:ascii="Arial" w:hAnsi="Arial"/>
        </w:rPr>
        <w:t xml:space="preserve">will calculate to </w:t>
      </w:r>
      <w:r w:rsidR="004703CF">
        <w:rPr>
          <w:rFonts w:ascii="Arial" w:hAnsi="Arial"/>
        </w:rPr>
        <w:t>decrease fund equity.</w:t>
      </w:r>
    </w:p>
    <w:p w14:paraId="58FD272C" w14:textId="77777777" w:rsidR="00B13705" w:rsidRDefault="00B13705" w:rsidP="003F2400">
      <w:pPr>
        <w:jc w:val="both"/>
        <w:rPr>
          <w:rFonts w:ascii="Arial" w:hAnsi="Arial"/>
        </w:rPr>
      </w:pPr>
    </w:p>
    <w:p w14:paraId="631904A1" w14:textId="77777777" w:rsidR="00EB745C" w:rsidRDefault="00EB745C" w:rsidP="003F2400">
      <w:pPr>
        <w:jc w:val="both"/>
        <w:rPr>
          <w:rFonts w:ascii="Arial" w:hAnsi="Arial"/>
        </w:rPr>
      </w:pPr>
    </w:p>
    <w:p w14:paraId="14618874" w14:textId="3AF4F99E" w:rsidR="00683AD2" w:rsidRDefault="0077120A" w:rsidP="003F2400">
      <w:pPr>
        <w:jc w:val="both"/>
        <w:rPr>
          <w:rFonts w:ascii="Arial" w:hAnsi="Arial"/>
        </w:rPr>
      </w:pPr>
      <w:r>
        <w:rPr>
          <w:rFonts w:ascii="Arial" w:hAnsi="Arial"/>
        </w:rPr>
        <w:t xml:space="preserve">3) </w:t>
      </w:r>
      <w:r w:rsidR="00B13705">
        <w:rPr>
          <w:rFonts w:ascii="Arial" w:hAnsi="Arial"/>
        </w:rPr>
        <w:t>For balance sheet caption items</w:t>
      </w:r>
      <w:r w:rsidR="008331DE">
        <w:rPr>
          <w:rFonts w:ascii="Arial" w:hAnsi="Arial"/>
        </w:rPr>
        <w:t xml:space="preserve"> that are impacted by the restatement, report the balance</w:t>
      </w:r>
      <w:r w:rsidR="00CC7806">
        <w:rPr>
          <w:rFonts w:ascii="Arial" w:hAnsi="Arial"/>
        </w:rPr>
        <w:t>(</w:t>
      </w:r>
      <w:r w:rsidR="008331DE">
        <w:rPr>
          <w:rFonts w:ascii="Arial" w:hAnsi="Arial"/>
        </w:rPr>
        <w:t>s</w:t>
      </w:r>
      <w:r w:rsidR="00CC7806">
        <w:rPr>
          <w:rFonts w:ascii="Arial" w:hAnsi="Arial"/>
        </w:rPr>
        <w:t>)</w:t>
      </w:r>
      <w:r w:rsidR="008331DE">
        <w:rPr>
          <w:rFonts w:ascii="Arial" w:hAnsi="Arial"/>
        </w:rPr>
        <w:t xml:space="preserve"> as originally reported at 6-30-20</w:t>
      </w:r>
      <w:r w:rsidR="00A02DB8">
        <w:rPr>
          <w:rFonts w:ascii="Arial" w:hAnsi="Arial"/>
        </w:rPr>
        <w:t>2</w:t>
      </w:r>
      <w:r w:rsidR="00986B94">
        <w:rPr>
          <w:rFonts w:ascii="Arial" w:hAnsi="Arial"/>
        </w:rPr>
        <w:t>4</w:t>
      </w:r>
      <w:r w:rsidR="008331DE">
        <w:rPr>
          <w:rFonts w:ascii="Arial" w:hAnsi="Arial"/>
        </w:rPr>
        <w:t xml:space="preserve"> and record the</w:t>
      </w:r>
      <w:r w:rsidR="00B13705">
        <w:rPr>
          <w:rFonts w:ascii="Arial" w:hAnsi="Arial"/>
        </w:rPr>
        <w:t xml:space="preserve"> changes to assets/deferred outflows and/or liabilities/deferred inflows</w:t>
      </w:r>
      <w:r w:rsidR="00C31612">
        <w:rPr>
          <w:rFonts w:ascii="Arial" w:hAnsi="Arial"/>
        </w:rPr>
        <w:t xml:space="preserve"> </w:t>
      </w:r>
    </w:p>
    <w:p w14:paraId="02D4A6B8" w14:textId="6DD4B646" w:rsidR="00B13705" w:rsidRDefault="00C31612" w:rsidP="003F2400">
      <w:pPr>
        <w:jc w:val="both"/>
        <w:rPr>
          <w:rFonts w:ascii="Arial" w:hAnsi="Arial"/>
        </w:rPr>
      </w:pPr>
      <w:proofErr w:type="gramStart"/>
      <w:r>
        <w:rPr>
          <w:rFonts w:ascii="Arial" w:hAnsi="Arial"/>
        </w:rPr>
        <w:t>as a result of</w:t>
      </w:r>
      <w:proofErr w:type="gramEnd"/>
      <w:r>
        <w:rPr>
          <w:rFonts w:ascii="Arial" w:hAnsi="Arial"/>
        </w:rPr>
        <w:t xml:space="preserve"> the restatement</w:t>
      </w:r>
      <w:r w:rsidR="008331DE">
        <w:rPr>
          <w:rFonts w:ascii="Arial" w:hAnsi="Arial"/>
        </w:rPr>
        <w:t xml:space="preserve">.  In addition, </w:t>
      </w:r>
      <w:r w:rsidR="00CC7806">
        <w:rPr>
          <w:rFonts w:ascii="Arial" w:hAnsi="Arial"/>
        </w:rPr>
        <w:t>record the</w:t>
      </w:r>
      <w:r w:rsidR="00EE0C50">
        <w:rPr>
          <w:rFonts w:ascii="Arial" w:hAnsi="Arial"/>
        </w:rPr>
        <w:t xml:space="preserve"> impact of the restatement to the appropriate net position caption (</w:t>
      </w:r>
      <w:r w:rsidR="008331DE">
        <w:rPr>
          <w:rFonts w:ascii="Arial" w:hAnsi="Arial"/>
        </w:rPr>
        <w:t>net investment in capital assets, restricted or unrestricted)</w:t>
      </w:r>
      <w:r w:rsidR="00EE0C50">
        <w:rPr>
          <w:rFonts w:ascii="Arial" w:hAnsi="Arial"/>
        </w:rPr>
        <w:t>.</w:t>
      </w:r>
      <w:r w:rsidR="00B13705">
        <w:rPr>
          <w:rFonts w:ascii="Arial" w:hAnsi="Arial"/>
        </w:rPr>
        <w:t xml:space="preserve">  </w:t>
      </w:r>
    </w:p>
    <w:p w14:paraId="330C8B41" w14:textId="77777777" w:rsidR="00B13705" w:rsidRDefault="00B13705" w:rsidP="003F2400">
      <w:pPr>
        <w:jc w:val="both"/>
        <w:rPr>
          <w:rFonts w:ascii="Arial" w:hAnsi="Arial"/>
        </w:rPr>
      </w:pPr>
    </w:p>
    <w:p w14:paraId="74062480" w14:textId="6FC0EED7" w:rsidR="00394D16" w:rsidRDefault="0077120A" w:rsidP="003F2400">
      <w:pPr>
        <w:jc w:val="both"/>
        <w:rPr>
          <w:rFonts w:ascii="Arial" w:hAnsi="Arial"/>
        </w:rPr>
      </w:pPr>
      <w:r>
        <w:rPr>
          <w:rFonts w:ascii="Arial" w:hAnsi="Arial"/>
        </w:rPr>
        <w:t xml:space="preserve">4) </w:t>
      </w:r>
      <w:r w:rsidR="00734FE8">
        <w:rPr>
          <w:rFonts w:ascii="Arial" w:hAnsi="Arial"/>
        </w:rPr>
        <w:t xml:space="preserve">For expenditure </w:t>
      </w:r>
      <w:r w:rsidR="00F804C5">
        <w:rPr>
          <w:rFonts w:ascii="Arial" w:hAnsi="Arial"/>
        </w:rPr>
        <w:t xml:space="preserve">or revenue </w:t>
      </w:r>
      <w:r w:rsidR="00734FE8">
        <w:rPr>
          <w:rFonts w:ascii="Arial" w:hAnsi="Arial"/>
        </w:rPr>
        <w:t xml:space="preserve">statement captions </w:t>
      </w:r>
      <w:r w:rsidR="004703CF">
        <w:rPr>
          <w:rFonts w:ascii="Arial" w:hAnsi="Arial"/>
        </w:rPr>
        <w:t>show restatement to program and/or general revenues, functional expenditures, transfers, contributions to permanent funds</w:t>
      </w:r>
      <w:r w:rsidR="00790C55">
        <w:rPr>
          <w:rFonts w:ascii="Arial" w:hAnsi="Arial"/>
        </w:rPr>
        <w:t>,</w:t>
      </w:r>
      <w:r w:rsidR="004703CF">
        <w:rPr>
          <w:rFonts w:ascii="Arial" w:hAnsi="Arial"/>
        </w:rPr>
        <w:t xml:space="preserve"> or direct adjustments to beginning net </w:t>
      </w:r>
    </w:p>
    <w:p w14:paraId="03470F1E" w14:textId="600C4F53" w:rsidR="004703CF" w:rsidRDefault="004703CF" w:rsidP="003F2400">
      <w:pPr>
        <w:jc w:val="both"/>
        <w:rPr>
          <w:rFonts w:ascii="Arial" w:hAnsi="Arial"/>
        </w:rPr>
      </w:pPr>
      <w:r>
        <w:rPr>
          <w:rFonts w:ascii="Arial" w:hAnsi="Arial"/>
        </w:rPr>
        <w:t xml:space="preserve">position.  </w:t>
      </w:r>
      <w:r w:rsidR="00734FE8">
        <w:rPr>
          <w:rFonts w:ascii="Arial" w:hAnsi="Arial"/>
        </w:rPr>
        <w:t xml:space="preserve"> </w:t>
      </w:r>
      <w:r w:rsidR="00DE1EB0" w:rsidRPr="007D0971">
        <w:rPr>
          <w:rFonts w:ascii="Arial" w:hAnsi="Arial"/>
        </w:rPr>
        <w:t xml:space="preserve">Do not post restatements </w:t>
      </w:r>
      <w:r w:rsidR="00193AE0" w:rsidRPr="007D0971">
        <w:rPr>
          <w:rFonts w:ascii="Arial" w:hAnsi="Arial"/>
        </w:rPr>
        <w:t>to</w:t>
      </w:r>
      <w:r w:rsidR="00DE1EB0" w:rsidRPr="007D0971">
        <w:rPr>
          <w:rFonts w:ascii="Arial" w:hAnsi="Arial"/>
        </w:rPr>
        <w:t xml:space="preserve"> a</w:t>
      </w:r>
      <w:r w:rsidRPr="007D0971">
        <w:rPr>
          <w:rFonts w:ascii="Arial" w:hAnsi="Arial"/>
        </w:rPr>
        <w:t xml:space="preserve">n operating statement caption </w:t>
      </w:r>
      <w:r w:rsidR="00DE1EB0" w:rsidRPr="007D0971">
        <w:rPr>
          <w:rFonts w:ascii="Arial" w:hAnsi="Arial"/>
        </w:rPr>
        <w:t>unless the restatement is directly related to the prior year</w:t>
      </w:r>
      <w:r w:rsidR="00CC7806" w:rsidRPr="007D0971">
        <w:rPr>
          <w:rFonts w:ascii="Arial" w:hAnsi="Arial"/>
        </w:rPr>
        <w:t xml:space="preserve"> (FY 20</w:t>
      </w:r>
      <w:r w:rsidR="00A02DB8" w:rsidRPr="007D0971">
        <w:rPr>
          <w:rFonts w:ascii="Arial" w:hAnsi="Arial"/>
        </w:rPr>
        <w:t>2</w:t>
      </w:r>
      <w:r w:rsidR="00394D16">
        <w:rPr>
          <w:rFonts w:ascii="Arial" w:hAnsi="Arial"/>
        </w:rPr>
        <w:t>4</w:t>
      </w:r>
      <w:r w:rsidR="00CC7806" w:rsidRPr="007D0971">
        <w:rPr>
          <w:rFonts w:ascii="Arial" w:hAnsi="Arial"/>
        </w:rPr>
        <w:t>)</w:t>
      </w:r>
      <w:r w:rsidR="00DE1EB0" w:rsidRPr="007D0971">
        <w:rPr>
          <w:rFonts w:ascii="Arial" w:hAnsi="Arial"/>
        </w:rPr>
        <w:t xml:space="preserve">.  If the restatement is </w:t>
      </w:r>
      <w:r w:rsidR="002125A6" w:rsidRPr="007D0971">
        <w:rPr>
          <w:rFonts w:ascii="Arial" w:hAnsi="Arial"/>
        </w:rPr>
        <w:t xml:space="preserve">related to earlier </w:t>
      </w:r>
      <w:r w:rsidR="004C3F4A">
        <w:rPr>
          <w:rFonts w:ascii="Arial" w:hAnsi="Arial"/>
        </w:rPr>
        <w:t>periods</w:t>
      </w:r>
      <w:r w:rsidR="002125A6" w:rsidRPr="007D0971">
        <w:rPr>
          <w:rFonts w:ascii="Arial" w:hAnsi="Arial"/>
        </w:rPr>
        <w:t xml:space="preserve"> (FY20</w:t>
      </w:r>
      <w:r w:rsidR="007A135E" w:rsidRPr="007D0971">
        <w:rPr>
          <w:rFonts w:ascii="Arial" w:hAnsi="Arial"/>
        </w:rPr>
        <w:t>2</w:t>
      </w:r>
      <w:r w:rsidR="00394D16">
        <w:rPr>
          <w:rFonts w:ascii="Arial" w:hAnsi="Arial"/>
        </w:rPr>
        <w:t>3</w:t>
      </w:r>
      <w:r w:rsidR="00DE1EB0" w:rsidRPr="007D0971">
        <w:rPr>
          <w:rFonts w:ascii="Arial" w:hAnsi="Arial"/>
        </w:rPr>
        <w:t xml:space="preserve"> or earlier), post the restatement directly to the </w:t>
      </w:r>
      <w:r w:rsidR="00DE1EB0" w:rsidRPr="007D0971">
        <w:rPr>
          <w:rFonts w:ascii="Arial" w:hAnsi="Arial"/>
          <w:b/>
        </w:rPr>
        <w:t>“</w:t>
      </w:r>
      <w:r w:rsidR="00EE0C50" w:rsidRPr="007D0971">
        <w:rPr>
          <w:rFonts w:ascii="Arial" w:hAnsi="Arial"/>
          <w:b/>
        </w:rPr>
        <w:t>Beginning Fund Equity (restated)”</w:t>
      </w:r>
      <w:r w:rsidR="00EE0C50" w:rsidRPr="007D0971">
        <w:rPr>
          <w:rFonts w:ascii="Arial" w:hAnsi="Arial"/>
        </w:rPr>
        <w:t xml:space="preserve"> caption, which is at the bottom of the 431G.</w:t>
      </w:r>
      <w:r w:rsidR="00DE1EB0">
        <w:rPr>
          <w:rFonts w:ascii="Arial" w:hAnsi="Arial"/>
        </w:rPr>
        <w:t xml:space="preserve"> </w:t>
      </w:r>
    </w:p>
    <w:p w14:paraId="1B728379" w14:textId="77777777" w:rsidR="00FB3EEB" w:rsidRDefault="00FB3EEB" w:rsidP="003F2400">
      <w:pPr>
        <w:jc w:val="both"/>
        <w:rPr>
          <w:rFonts w:ascii="Arial" w:hAnsi="Arial"/>
        </w:rPr>
      </w:pPr>
    </w:p>
    <w:p w14:paraId="622EFAB6" w14:textId="45C010C4" w:rsidR="00FB3EEB" w:rsidRDefault="00BF253B" w:rsidP="003F2400">
      <w:pPr>
        <w:jc w:val="both"/>
        <w:rPr>
          <w:rFonts w:ascii="Arial" w:hAnsi="Arial"/>
        </w:rPr>
      </w:pPr>
      <w:r>
        <w:rPr>
          <w:rFonts w:ascii="Arial" w:hAnsi="Arial"/>
        </w:rPr>
        <w:t>5)</w:t>
      </w:r>
      <w:r w:rsidR="00FB3EEB">
        <w:rPr>
          <w:rFonts w:ascii="Arial" w:hAnsi="Arial"/>
        </w:rPr>
        <w:t xml:space="preserve"> For each caption being restated, a</w:t>
      </w:r>
      <w:r w:rsidR="00063D85">
        <w:rPr>
          <w:rFonts w:ascii="Arial" w:hAnsi="Arial"/>
        </w:rPr>
        <w:t xml:space="preserve"> </w:t>
      </w:r>
      <w:r w:rsidR="00063D85" w:rsidRPr="00B15E6C">
        <w:rPr>
          <w:rFonts w:ascii="Arial" w:hAnsi="Arial"/>
          <w:b/>
          <w:bCs/>
          <w:color w:val="0070C0"/>
        </w:rPr>
        <w:t>“Reason</w:t>
      </w:r>
      <w:r w:rsidR="00063D85">
        <w:rPr>
          <w:rFonts w:ascii="Arial" w:hAnsi="Arial"/>
        </w:rPr>
        <w:t>” should be selected from the drop-down menu</w:t>
      </w:r>
      <w:r w:rsidR="007C2B42">
        <w:rPr>
          <w:rFonts w:ascii="Arial" w:hAnsi="Arial"/>
        </w:rPr>
        <w:t xml:space="preserve"> to the right of the caption</w:t>
      </w:r>
      <w:r w:rsidR="003767F2">
        <w:rPr>
          <w:rFonts w:ascii="Arial" w:hAnsi="Arial"/>
        </w:rPr>
        <w:t xml:space="preserve">.  </w:t>
      </w:r>
      <w:r w:rsidR="00AA52D0">
        <w:rPr>
          <w:rFonts w:ascii="Arial" w:hAnsi="Arial"/>
        </w:rPr>
        <w:t>R</w:t>
      </w:r>
      <w:r w:rsidR="004C6157">
        <w:rPr>
          <w:rFonts w:ascii="Arial" w:hAnsi="Arial"/>
        </w:rPr>
        <w:t>estatement</w:t>
      </w:r>
      <w:r w:rsidR="00BC0DD4">
        <w:rPr>
          <w:rFonts w:ascii="Arial" w:hAnsi="Arial"/>
        </w:rPr>
        <w:t>s</w:t>
      </w:r>
      <w:r w:rsidR="004C6157">
        <w:rPr>
          <w:rFonts w:ascii="Arial" w:hAnsi="Arial"/>
        </w:rPr>
        <w:t xml:space="preserve"> related to Changes in Accounting Principles </w:t>
      </w:r>
      <w:r w:rsidR="00CB46D1">
        <w:rPr>
          <w:rFonts w:ascii="Arial" w:hAnsi="Arial"/>
        </w:rPr>
        <w:t xml:space="preserve">will begin with </w:t>
      </w:r>
      <w:r w:rsidR="00CB46D1" w:rsidRPr="00A8774E">
        <w:rPr>
          <w:rFonts w:ascii="Arial" w:hAnsi="Arial"/>
          <w:b/>
          <w:bCs/>
        </w:rPr>
        <w:t>“O”</w:t>
      </w:r>
      <w:r w:rsidR="00CB46D1">
        <w:rPr>
          <w:rFonts w:ascii="Arial" w:hAnsi="Arial"/>
        </w:rPr>
        <w:t xml:space="preserve"> and</w:t>
      </w:r>
      <w:r w:rsidR="00BC0DD4">
        <w:rPr>
          <w:rFonts w:ascii="Arial" w:hAnsi="Arial"/>
        </w:rPr>
        <w:t xml:space="preserve"> restatements </w:t>
      </w:r>
      <w:r w:rsidR="00CB46D1">
        <w:rPr>
          <w:rFonts w:ascii="Arial" w:hAnsi="Arial"/>
        </w:rPr>
        <w:t xml:space="preserve">related to </w:t>
      </w:r>
      <w:r w:rsidR="00B9558F">
        <w:rPr>
          <w:rFonts w:ascii="Arial" w:hAnsi="Arial"/>
        </w:rPr>
        <w:t>Error Corrections</w:t>
      </w:r>
      <w:r w:rsidR="00CB46D1">
        <w:rPr>
          <w:rFonts w:ascii="Arial" w:hAnsi="Arial"/>
        </w:rPr>
        <w:t xml:space="preserve"> will begin with </w:t>
      </w:r>
      <w:r w:rsidR="00CB46D1" w:rsidRPr="00A8774E">
        <w:rPr>
          <w:rFonts w:ascii="Arial" w:hAnsi="Arial"/>
          <w:b/>
          <w:bCs/>
        </w:rPr>
        <w:t>“ER.”</w:t>
      </w:r>
    </w:p>
    <w:p w14:paraId="581B957D" w14:textId="77777777" w:rsidR="004703CF" w:rsidRDefault="004703CF" w:rsidP="003F2400">
      <w:pPr>
        <w:jc w:val="both"/>
        <w:rPr>
          <w:rFonts w:ascii="Arial" w:hAnsi="Arial"/>
        </w:rPr>
      </w:pPr>
    </w:p>
    <w:p w14:paraId="5E5170D2" w14:textId="520B5797" w:rsidR="00353BCC" w:rsidRDefault="00A8774E" w:rsidP="003F2400">
      <w:pPr>
        <w:jc w:val="both"/>
        <w:rPr>
          <w:rFonts w:ascii="Arial" w:hAnsi="Arial"/>
        </w:rPr>
      </w:pPr>
      <w:r>
        <w:rPr>
          <w:rFonts w:ascii="Arial" w:hAnsi="Arial"/>
        </w:rPr>
        <w:t xml:space="preserve">6) </w:t>
      </w:r>
      <w:r w:rsidR="005563A9">
        <w:rPr>
          <w:rFonts w:ascii="Arial" w:hAnsi="Arial"/>
        </w:rPr>
        <w:t>T</w:t>
      </w:r>
      <w:r w:rsidR="00734FE8">
        <w:rPr>
          <w:rFonts w:ascii="Arial" w:hAnsi="Arial"/>
        </w:rPr>
        <w:t xml:space="preserve">he Restatements column </w:t>
      </w:r>
      <w:r w:rsidR="00703BAC">
        <w:rPr>
          <w:rFonts w:ascii="Arial" w:hAnsi="Arial"/>
        </w:rPr>
        <w:t xml:space="preserve">total for </w:t>
      </w:r>
      <w:r w:rsidR="00734FE8">
        <w:rPr>
          <w:rFonts w:ascii="Arial" w:hAnsi="Arial"/>
        </w:rPr>
        <w:t>t</w:t>
      </w:r>
      <w:r w:rsidR="004E46A3">
        <w:rPr>
          <w:rFonts w:ascii="Arial" w:hAnsi="Arial"/>
        </w:rPr>
        <w:t xml:space="preserve">he </w:t>
      </w:r>
      <w:r w:rsidR="004E46A3" w:rsidRPr="00C147C2">
        <w:rPr>
          <w:rFonts w:ascii="Arial" w:hAnsi="Arial"/>
          <w:i/>
        </w:rPr>
        <w:t>Balance Sheet</w:t>
      </w:r>
      <w:r w:rsidR="00BC5192">
        <w:rPr>
          <w:rFonts w:ascii="Arial" w:hAnsi="Arial"/>
          <w:i/>
        </w:rPr>
        <w:t xml:space="preserve"> </w:t>
      </w:r>
      <w:r w:rsidR="00744235">
        <w:rPr>
          <w:rFonts w:ascii="Arial" w:hAnsi="Arial"/>
          <w:i/>
        </w:rPr>
        <w:t>Change</w:t>
      </w:r>
      <w:r w:rsidR="004E46A3">
        <w:rPr>
          <w:rFonts w:ascii="Arial" w:hAnsi="Arial"/>
        </w:rPr>
        <w:t xml:space="preserve"> line must agree with the </w:t>
      </w:r>
      <w:r w:rsidR="00DF5B06">
        <w:rPr>
          <w:rFonts w:ascii="Arial" w:hAnsi="Arial"/>
        </w:rPr>
        <w:t xml:space="preserve">Restatements column total for the </w:t>
      </w:r>
      <w:r w:rsidR="004E46A3" w:rsidRPr="00C147C2">
        <w:rPr>
          <w:rFonts w:ascii="Arial" w:hAnsi="Arial"/>
          <w:i/>
        </w:rPr>
        <w:t>Operating Statement</w:t>
      </w:r>
      <w:r w:rsidR="0090598C">
        <w:rPr>
          <w:rFonts w:ascii="Arial" w:hAnsi="Arial"/>
          <w:i/>
        </w:rPr>
        <w:t xml:space="preserve"> Change</w:t>
      </w:r>
      <w:r w:rsidR="00D67905">
        <w:rPr>
          <w:rFonts w:ascii="Arial" w:hAnsi="Arial"/>
          <w:i/>
        </w:rPr>
        <w:t xml:space="preserve"> </w:t>
      </w:r>
      <w:r w:rsidR="004E46A3">
        <w:rPr>
          <w:rFonts w:ascii="Arial" w:hAnsi="Arial"/>
        </w:rPr>
        <w:t>line</w:t>
      </w:r>
      <w:r w:rsidR="00FE4780">
        <w:rPr>
          <w:rFonts w:ascii="Arial" w:hAnsi="Arial"/>
        </w:rPr>
        <w:t xml:space="preserve">.  </w:t>
      </w:r>
      <w:r w:rsidR="00FE4780" w:rsidRPr="003334C0">
        <w:rPr>
          <w:rFonts w:ascii="Arial" w:hAnsi="Arial"/>
        </w:rPr>
        <w:t xml:space="preserve">The </w:t>
      </w:r>
      <w:r w:rsidR="00FE4780" w:rsidRPr="003334C0">
        <w:rPr>
          <w:rFonts w:ascii="Arial" w:hAnsi="Arial"/>
          <w:i/>
        </w:rPr>
        <w:t>Balance Sheet</w:t>
      </w:r>
      <w:r w:rsidR="007022DC">
        <w:rPr>
          <w:rFonts w:ascii="Arial" w:hAnsi="Arial"/>
          <w:i/>
        </w:rPr>
        <w:t xml:space="preserve"> Change</w:t>
      </w:r>
      <w:r w:rsidR="00FE4780" w:rsidRPr="003334C0">
        <w:rPr>
          <w:rFonts w:ascii="Arial" w:hAnsi="Arial"/>
        </w:rPr>
        <w:t xml:space="preserve"> and the </w:t>
      </w:r>
      <w:r w:rsidR="00FE4780" w:rsidRPr="003334C0">
        <w:rPr>
          <w:rFonts w:ascii="Arial" w:hAnsi="Arial"/>
          <w:i/>
        </w:rPr>
        <w:t>Operating Statement</w:t>
      </w:r>
      <w:r w:rsidR="00212E7E">
        <w:rPr>
          <w:rFonts w:ascii="Arial" w:hAnsi="Arial"/>
          <w:i/>
        </w:rPr>
        <w:t xml:space="preserve"> Change</w:t>
      </w:r>
      <w:r w:rsidR="00FE4780" w:rsidRPr="003334C0">
        <w:rPr>
          <w:rFonts w:ascii="Arial" w:hAnsi="Arial"/>
        </w:rPr>
        <w:t xml:space="preserve"> </w:t>
      </w:r>
      <w:r w:rsidR="00FE4780" w:rsidRPr="003334C0">
        <w:rPr>
          <w:rFonts w:ascii="Arial" w:hAnsi="Arial"/>
          <w:b/>
        </w:rPr>
        <w:t>must</w:t>
      </w:r>
      <w:r w:rsidR="00FE4780" w:rsidRPr="003334C0">
        <w:rPr>
          <w:rFonts w:ascii="Arial" w:hAnsi="Arial"/>
        </w:rPr>
        <w:t xml:space="preserve"> equal the</w:t>
      </w:r>
      <w:r w:rsidR="004E46A3" w:rsidRPr="003334C0">
        <w:rPr>
          <w:rFonts w:ascii="Arial" w:hAnsi="Arial"/>
        </w:rPr>
        <w:t xml:space="preserve"> </w:t>
      </w:r>
      <w:r w:rsidR="00327762">
        <w:rPr>
          <w:rFonts w:ascii="Arial" w:hAnsi="Arial"/>
        </w:rPr>
        <w:t xml:space="preserve">restatement </w:t>
      </w:r>
      <w:r w:rsidR="004E46A3" w:rsidRPr="003334C0">
        <w:rPr>
          <w:rFonts w:ascii="Arial" w:hAnsi="Arial"/>
        </w:rPr>
        <w:t xml:space="preserve">amount reported </w:t>
      </w:r>
      <w:r w:rsidR="009E7EAD">
        <w:rPr>
          <w:rFonts w:ascii="Arial" w:hAnsi="Arial"/>
        </w:rPr>
        <w:t xml:space="preserve">on the </w:t>
      </w:r>
      <w:r w:rsidR="00407CFF">
        <w:rPr>
          <w:rFonts w:ascii="Arial" w:hAnsi="Arial"/>
        </w:rPr>
        <w:t>430G for that specific GASB</w:t>
      </w:r>
      <w:r w:rsidR="00353BCC">
        <w:rPr>
          <w:rFonts w:ascii="Arial" w:hAnsi="Arial"/>
        </w:rPr>
        <w:t>.</w:t>
      </w:r>
    </w:p>
    <w:p w14:paraId="4E3A43AA" w14:textId="77777777" w:rsidR="00353BCC" w:rsidRDefault="00353BCC" w:rsidP="003F2400">
      <w:pPr>
        <w:jc w:val="both"/>
        <w:rPr>
          <w:rFonts w:ascii="Arial" w:hAnsi="Arial"/>
        </w:rPr>
      </w:pPr>
    </w:p>
    <w:p w14:paraId="47802C61" w14:textId="77777777" w:rsidR="007E5625" w:rsidRDefault="007E5625" w:rsidP="00790C55">
      <w:pPr>
        <w:jc w:val="both"/>
        <w:rPr>
          <w:rFonts w:ascii="Arial" w:hAnsi="Arial"/>
          <w:b/>
        </w:rPr>
      </w:pPr>
    </w:p>
    <w:p w14:paraId="5EB61D1D" w14:textId="793CFC54" w:rsidR="003B5A31" w:rsidRDefault="00C91CCE" w:rsidP="00790C55">
      <w:pPr>
        <w:jc w:val="both"/>
        <w:rPr>
          <w:rFonts w:ascii="Arial" w:hAnsi="Arial"/>
          <w:b/>
          <w:u w:val="single"/>
        </w:rPr>
      </w:pPr>
      <w:bookmarkStart w:id="7" w:name="_Hlk163054601"/>
      <w:r w:rsidRPr="004929CA">
        <w:rPr>
          <w:rFonts w:ascii="Arial" w:hAnsi="Arial"/>
          <w:b/>
          <w:u w:val="single"/>
        </w:rPr>
        <w:t xml:space="preserve">431BTA </w:t>
      </w:r>
      <w:r w:rsidR="00411F72">
        <w:rPr>
          <w:rFonts w:ascii="Arial" w:hAnsi="Arial"/>
          <w:b/>
          <w:u w:val="single"/>
        </w:rPr>
        <w:t>B</w:t>
      </w:r>
      <w:r w:rsidRPr="004929CA">
        <w:rPr>
          <w:rFonts w:ascii="Arial" w:hAnsi="Arial"/>
          <w:b/>
          <w:u w:val="single"/>
        </w:rPr>
        <w:t>usiness</w:t>
      </w:r>
      <w:r w:rsidR="00694EBE">
        <w:rPr>
          <w:rFonts w:ascii="Arial" w:hAnsi="Arial"/>
          <w:b/>
          <w:u w:val="single"/>
        </w:rPr>
        <w:t>-</w:t>
      </w:r>
      <w:r w:rsidR="00411F72">
        <w:rPr>
          <w:rFonts w:ascii="Arial" w:hAnsi="Arial"/>
          <w:b/>
          <w:u w:val="single"/>
        </w:rPr>
        <w:t>T</w:t>
      </w:r>
      <w:r w:rsidRPr="004929CA">
        <w:rPr>
          <w:rFonts w:ascii="Arial" w:hAnsi="Arial"/>
          <w:b/>
          <w:u w:val="single"/>
        </w:rPr>
        <w:t xml:space="preserve">ype </w:t>
      </w:r>
      <w:r w:rsidR="00411F72">
        <w:rPr>
          <w:rFonts w:ascii="Arial" w:hAnsi="Arial"/>
          <w:b/>
          <w:u w:val="single"/>
        </w:rPr>
        <w:t>F</w:t>
      </w:r>
      <w:r w:rsidRPr="004929CA">
        <w:rPr>
          <w:rFonts w:ascii="Arial" w:hAnsi="Arial"/>
          <w:b/>
          <w:u w:val="single"/>
        </w:rPr>
        <w:t>unds</w:t>
      </w:r>
      <w:r w:rsidR="00694EBE">
        <w:rPr>
          <w:rFonts w:ascii="Arial" w:hAnsi="Arial"/>
          <w:b/>
          <w:u w:val="single"/>
        </w:rPr>
        <w:t xml:space="preserve"> </w:t>
      </w:r>
      <w:r w:rsidR="004D750C">
        <w:rPr>
          <w:rFonts w:ascii="Arial" w:hAnsi="Arial"/>
          <w:b/>
          <w:u w:val="single"/>
        </w:rPr>
        <w:t>(</w:t>
      </w:r>
      <w:r w:rsidR="00694EBE">
        <w:rPr>
          <w:rFonts w:ascii="Arial" w:hAnsi="Arial"/>
          <w:b/>
          <w:u w:val="single"/>
        </w:rPr>
        <w:t>Restatements Part 2 of 2</w:t>
      </w:r>
      <w:r w:rsidR="004D750C">
        <w:rPr>
          <w:rFonts w:ascii="Arial" w:hAnsi="Arial"/>
          <w:b/>
          <w:u w:val="single"/>
        </w:rPr>
        <w:t>)</w:t>
      </w:r>
      <w:r w:rsidRPr="004929CA">
        <w:rPr>
          <w:rFonts w:ascii="Arial" w:hAnsi="Arial"/>
          <w:b/>
          <w:u w:val="single"/>
        </w:rPr>
        <w:t>:</w:t>
      </w:r>
    </w:p>
    <w:p w14:paraId="0BC94AB1" w14:textId="1B07F5EE" w:rsidR="00BD4814" w:rsidRDefault="003B5A31" w:rsidP="00790C55">
      <w:pPr>
        <w:jc w:val="both"/>
        <w:rPr>
          <w:rFonts w:ascii="Arial" w:hAnsi="Arial"/>
        </w:rPr>
      </w:pPr>
      <w:r>
        <w:rPr>
          <w:rFonts w:ascii="Arial" w:hAnsi="Arial"/>
        </w:rPr>
        <w:t>1)</w:t>
      </w:r>
      <w:r w:rsidR="00FE684D">
        <w:rPr>
          <w:rFonts w:ascii="Arial" w:hAnsi="Arial"/>
        </w:rPr>
        <w:t xml:space="preserve"> </w:t>
      </w:r>
      <w:r w:rsidR="0004261D">
        <w:rPr>
          <w:rFonts w:ascii="Arial" w:hAnsi="Arial"/>
        </w:rPr>
        <w:t xml:space="preserve">Select the appropriate </w:t>
      </w:r>
      <w:r w:rsidR="0004261D" w:rsidRPr="00BF7E22">
        <w:rPr>
          <w:rFonts w:ascii="Arial" w:hAnsi="Arial"/>
          <w:b/>
          <w:bCs/>
          <w:color w:val="0070C0"/>
        </w:rPr>
        <w:t xml:space="preserve">GASB </w:t>
      </w:r>
      <w:r w:rsidR="0004261D">
        <w:rPr>
          <w:rFonts w:ascii="Arial" w:hAnsi="Arial"/>
        </w:rPr>
        <w:t xml:space="preserve">from the drop-down menu </w:t>
      </w:r>
      <w:r w:rsidR="00A86F1D">
        <w:rPr>
          <w:rFonts w:ascii="Arial" w:hAnsi="Arial"/>
        </w:rPr>
        <w:t xml:space="preserve">in the header </w:t>
      </w:r>
      <w:r w:rsidR="00BD4814">
        <w:rPr>
          <w:rFonts w:ascii="Arial" w:hAnsi="Arial"/>
        </w:rPr>
        <w:t>section of the 431BTA.</w:t>
      </w:r>
    </w:p>
    <w:p w14:paraId="2977BACB" w14:textId="77777777" w:rsidR="00E91A6E" w:rsidRDefault="00E91A6E" w:rsidP="00790C55">
      <w:pPr>
        <w:jc w:val="both"/>
        <w:rPr>
          <w:rFonts w:ascii="Arial" w:hAnsi="Arial"/>
          <w:u w:val="single"/>
        </w:rPr>
      </w:pPr>
    </w:p>
    <w:p w14:paraId="7A9AEB36" w14:textId="1C0F00AA" w:rsidR="00E91A6E" w:rsidRPr="00D74BD7" w:rsidRDefault="00D74BD7" w:rsidP="00790C55">
      <w:pPr>
        <w:jc w:val="both"/>
        <w:rPr>
          <w:rFonts w:ascii="Arial" w:hAnsi="Arial"/>
        </w:rPr>
      </w:pPr>
      <w:r>
        <w:rPr>
          <w:rFonts w:ascii="Arial" w:hAnsi="Arial"/>
        </w:rPr>
        <w:lastRenderedPageBreak/>
        <w:t xml:space="preserve">2) Select the appropriate </w:t>
      </w:r>
      <w:r w:rsidRPr="00F3035D">
        <w:rPr>
          <w:rFonts w:ascii="Arial" w:hAnsi="Arial"/>
          <w:b/>
          <w:bCs/>
          <w:color w:val="0070C0"/>
        </w:rPr>
        <w:t>Function</w:t>
      </w:r>
      <w:r>
        <w:rPr>
          <w:rFonts w:ascii="Arial" w:hAnsi="Arial"/>
        </w:rPr>
        <w:t xml:space="preserve"> from the drop-down menu in the header section of the 431BTA.  Enterprise </w:t>
      </w:r>
      <w:r w:rsidR="00D6018F">
        <w:rPr>
          <w:rFonts w:ascii="Arial" w:hAnsi="Arial"/>
        </w:rPr>
        <w:t>F</w:t>
      </w:r>
      <w:r>
        <w:rPr>
          <w:rFonts w:ascii="Arial" w:hAnsi="Arial"/>
        </w:rPr>
        <w:t>unds (GASB</w:t>
      </w:r>
      <w:r w:rsidR="00D6018F">
        <w:rPr>
          <w:rFonts w:ascii="Arial" w:hAnsi="Arial"/>
        </w:rPr>
        <w:t>s 25XX) should select “No Function, and Internal Service Funds (GASBs</w:t>
      </w:r>
      <w:r w:rsidR="00F3035D">
        <w:rPr>
          <w:rFonts w:ascii="Arial" w:hAnsi="Arial"/>
        </w:rPr>
        <w:t xml:space="preserve"> 27XX) should select “General government.”</w:t>
      </w:r>
    </w:p>
    <w:p w14:paraId="5FFA5707" w14:textId="77777777" w:rsidR="00BD4814" w:rsidRDefault="00BD4814" w:rsidP="00790C55">
      <w:pPr>
        <w:jc w:val="both"/>
        <w:rPr>
          <w:rFonts w:ascii="Arial" w:hAnsi="Arial"/>
        </w:rPr>
      </w:pPr>
    </w:p>
    <w:p w14:paraId="3E4A83C9" w14:textId="5DFA15EE" w:rsidR="00790C55" w:rsidRDefault="007B3E72" w:rsidP="00790C55">
      <w:pPr>
        <w:jc w:val="both"/>
        <w:rPr>
          <w:rFonts w:ascii="Arial" w:hAnsi="Arial"/>
        </w:rPr>
      </w:pPr>
      <w:r>
        <w:rPr>
          <w:rFonts w:ascii="Arial" w:hAnsi="Arial"/>
        </w:rPr>
        <w:t>3</w:t>
      </w:r>
      <w:r w:rsidR="00BA7509">
        <w:rPr>
          <w:rFonts w:ascii="Arial" w:hAnsi="Arial"/>
        </w:rPr>
        <w:t xml:space="preserve">) </w:t>
      </w:r>
      <w:r w:rsidR="00790C55">
        <w:rPr>
          <w:rFonts w:ascii="Arial" w:hAnsi="Arial"/>
        </w:rPr>
        <w:t xml:space="preserve">Key </w:t>
      </w:r>
      <w:r w:rsidR="00B35279">
        <w:rPr>
          <w:rFonts w:ascii="Arial" w:hAnsi="Arial"/>
        </w:rPr>
        <w:t xml:space="preserve">only </w:t>
      </w:r>
      <w:r w:rsidR="00790C55">
        <w:rPr>
          <w:rFonts w:ascii="Arial" w:hAnsi="Arial"/>
        </w:rPr>
        <w:t>the 6/30</w:t>
      </w:r>
      <w:r w:rsidR="00B35279">
        <w:rPr>
          <w:rFonts w:ascii="Arial" w:hAnsi="Arial"/>
        </w:rPr>
        <w:t>/</w:t>
      </w:r>
      <w:r w:rsidR="00A02DB8">
        <w:rPr>
          <w:rFonts w:ascii="Arial" w:hAnsi="Arial"/>
        </w:rPr>
        <w:t>2</w:t>
      </w:r>
      <w:r w:rsidR="00BA7509">
        <w:rPr>
          <w:rFonts w:ascii="Arial" w:hAnsi="Arial"/>
        </w:rPr>
        <w:t>4</w:t>
      </w:r>
      <w:r w:rsidR="00790C55">
        <w:rPr>
          <w:rFonts w:ascii="Arial" w:hAnsi="Arial"/>
        </w:rPr>
        <w:t xml:space="preserve"> balances for statement captions </w:t>
      </w:r>
      <w:r w:rsidR="00B35279">
        <w:rPr>
          <w:rFonts w:ascii="Arial" w:hAnsi="Arial"/>
        </w:rPr>
        <w:t>impacted</w:t>
      </w:r>
      <w:r w:rsidR="00790C55">
        <w:rPr>
          <w:rFonts w:ascii="Arial" w:hAnsi="Arial"/>
        </w:rPr>
        <w:t xml:space="preserve"> by the restatement as they appear on the </w:t>
      </w:r>
      <w:r w:rsidR="004B09BF">
        <w:rPr>
          <w:rFonts w:ascii="Arial" w:hAnsi="Arial"/>
        </w:rPr>
        <w:t>NC ACFR</w:t>
      </w:r>
      <w:r w:rsidR="004622AC">
        <w:rPr>
          <w:rFonts w:ascii="Arial" w:hAnsi="Arial"/>
        </w:rPr>
        <w:t xml:space="preserve"> 11P/53P re</w:t>
      </w:r>
      <w:r w:rsidR="00790C55">
        <w:rPr>
          <w:rFonts w:ascii="Arial" w:hAnsi="Arial"/>
        </w:rPr>
        <w:t xml:space="preserve">ports.  </w:t>
      </w:r>
      <w:r w:rsidR="00A309AA">
        <w:rPr>
          <w:rFonts w:ascii="Arial" w:hAnsi="Arial"/>
        </w:rPr>
        <w:t>Enter restatement</w:t>
      </w:r>
      <w:r w:rsidR="00790C55">
        <w:rPr>
          <w:rFonts w:ascii="Arial" w:hAnsi="Arial"/>
        </w:rPr>
        <w:t xml:space="preserve"> increases as positives and decreases as negatives in the Restatements column.  Balance sheet and operating statement changes are calculated based on the caption type and sign.  For example, an increase to </w:t>
      </w:r>
      <w:proofErr w:type="gramStart"/>
      <w:r w:rsidR="00790C55">
        <w:rPr>
          <w:rFonts w:ascii="Arial" w:hAnsi="Arial"/>
        </w:rPr>
        <w:t>a liability</w:t>
      </w:r>
      <w:proofErr w:type="gramEnd"/>
      <w:r w:rsidR="00790C55">
        <w:rPr>
          <w:rFonts w:ascii="Arial" w:hAnsi="Arial"/>
        </w:rPr>
        <w:t xml:space="preserve"> </w:t>
      </w:r>
      <w:r w:rsidR="00C31612">
        <w:rPr>
          <w:rFonts w:ascii="Arial" w:hAnsi="Arial"/>
        </w:rPr>
        <w:t>should be entered as</w:t>
      </w:r>
      <w:r w:rsidR="00A309AA">
        <w:rPr>
          <w:rFonts w:ascii="Arial" w:hAnsi="Arial"/>
        </w:rPr>
        <w:t xml:space="preserve"> a</w:t>
      </w:r>
      <w:r w:rsidR="00790C55">
        <w:rPr>
          <w:rFonts w:ascii="Arial" w:hAnsi="Arial"/>
        </w:rPr>
        <w:t xml:space="preserve"> positive </w:t>
      </w:r>
      <w:r w:rsidR="00C31612">
        <w:rPr>
          <w:rFonts w:ascii="Arial" w:hAnsi="Arial"/>
        </w:rPr>
        <w:t xml:space="preserve">amount </w:t>
      </w:r>
      <w:r w:rsidR="00790C55">
        <w:rPr>
          <w:rFonts w:ascii="Arial" w:hAnsi="Arial"/>
        </w:rPr>
        <w:t xml:space="preserve">on the worksheet but </w:t>
      </w:r>
      <w:r w:rsidR="00C31612">
        <w:rPr>
          <w:rFonts w:ascii="Arial" w:hAnsi="Arial"/>
        </w:rPr>
        <w:t xml:space="preserve">will calculate to </w:t>
      </w:r>
      <w:r w:rsidR="00790C55">
        <w:rPr>
          <w:rFonts w:ascii="Arial" w:hAnsi="Arial"/>
        </w:rPr>
        <w:t xml:space="preserve">decrease </w:t>
      </w:r>
      <w:r w:rsidR="00A02DB8">
        <w:rPr>
          <w:rFonts w:ascii="Arial" w:hAnsi="Arial"/>
        </w:rPr>
        <w:t>net position</w:t>
      </w:r>
      <w:r w:rsidR="00790C55">
        <w:rPr>
          <w:rFonts w:ascii="Arial" w:hAnsi="Arial"/>
        </w:rPr>
        <w:t>.</w:t>
      </w:r>
    </w:p>
    <w:p w14:paraId="4BAE9447" w14:textId="77777777" w:rsidR="00790C55" w:rsidRDefault="00790C55" w:rsidP="00790C55">
      <w:pPr>
        <w:jc w:val="both"/>
        <w:rPr>
          <w:rFonts w:ascii="Arial" w:hAnsi="Arial"/>
        </w:rPr>
      </w:pPr>
    </w:p>
    <w:p w14:paraId="037B54F8" w14:textId="47BB2F28" w:rsidR="00C31612" w:rsidRDefault="007B3E72" w:rsidP="00C31612">
      <w:pPr>
        <w:jc w:val="both"/>
        <w:rPr>
          <w:rFonts w:ascii="Arial" w:hAnsi="Arial"/>
        </w:rPr>
      </w:pPr>
      <w:r>
        <w:rPr>
          <w:rFonts w:ascii="Arial" w:hAnsi="Arial"/>
        </w:rPr>
        <w:t>4</w:t>
      </w:r>
      <w:r w:rsidR="00BA7509">
        <w:rPr>
          <w:rFonts w:ascii="Arial" w:hAnsi="Arial"/>
        </w:rPr>
        <w:t xml:space="preserve">) </w:t>
      </w:r>
      <w:r w:rsidR="00C31612">
        <w:rPr>
          <w:rFonts w:ascii="Arial" w:hAnsi="Arial"/>
        </w:rPr>
        <w:t>For balance sheet caption items that are impacted by the restatement, report the balance(s) as originally reported at 6-30-20</w:t>
      </w:r>
      <w:r w:rsidR="00A02DB8">
        <w:rPr>
          <w:rFonts w:ascii="Arial" w:hAnsi="Arial"/>
        </w:rPr>
        <w:t>2</w:t>
      </w:r>
      <w:r w:rsidR="0006287B">
        <w:rPr>
          <w:rFonts w:ascii="Arial" w:hAnsi="Arial"/>
        </w:rPr>
        <w:t>4</w:t>
      </w:r>
      <w:r w:rsidR="00C31612">
        <w:rPr>
          <w:rFonts w:ascii="Arial" w:hAnsi="Arial"/>
        </w:rPr>
        <w:t xml:space="preserve"> and record the changes to assets/deferred outflows and/or liabilities/deferred inflows </w:t>
      </w:r>
      <w:proofErr w:type="gramStart"/>
      <w:r w:rsidR="00C31612">
        <w:rPr>
          <w:rFonts w:ascii="Arial" w:hAnsi="Arial"/>
        </w:rPr>
        <w:t>as a result of</w:t>
      </w:r>
      <w:proofErr w:type="gramEnd"/>
      <w:r w:rsidR="00C31612">
        <w:rPr>
          <w:rFonts w:ascii="Arial" w:hAnsi="Arial"/>
        </w:rPr>
        <w:t xml:space="preserve"> the restatement.  In addition, record the</w:t>
      </w:r>
      <w:r w:rsidR="00232DE0">
        <w:rPr>
          <w:rFonts w:ascii="Arial" w:hAnsi="Arial"/>
        </w:rPr>
        <w:t xml:space="preserve"> impact of the restatement to the appropriate net position caption</w:t>
      </w:r>
      <w:r w:rsidR="00C31612">
        <w:rPr>
          <w:rFonts w:ascii="Arial" w:hAnsi="Arial"/>
        </w:rPr>
        <w:t xml:space="preserve"> (net investment in capital assets, restricted or unrestricted)</w:t>
      </w:r>
      <w:r w:rsidR="00232DE0">
        <w:rPr>
          <w:rFonts w:ascii="Arial" w:hAnsi="Arial"/>
        </w:rPr>
        <w:t>.</w:t>
      </w:r>
      <w:r w:rsidR="00C31612">
        <w:rPr>
          <w:rFonts w:ascii="Arial" w:hAnsi="Arial"/>
        </w:rPr>
        <w:t xml:space="preserve">  </w:t>
      </w:r>
    </w:p>
    <w:p w14:paraId="2D775429" w14:textId="77777777" w:rsidR="00C31612" w:rsidRDefault="00C31612" w:rsidP="00790C55">
      <w:pPr>
        <w:jc w:val="both"/>
        <w:rPr>
          <w:rFonts w:ascii="Arial" w:hAnsi="Arial"/>
        </w:rPr>
      </w:pPr>
    </w:p>
    <w:p w14:paraId="55E466DC" w14:textId="7DB9836C" w:rsidR="00790C55" w:rsidRDefault="00473445" w:rsidP="00790C55">
      <w:pPr>
        <w:jc w:val="both"/>
        <w:rPr>
          <w:rFonts w:ascii="Arial" w:hAnsi="Arial"/>
        </w:rPr>
      </w:pPr>
      <w:r>
        <w:rPr>
          <w:rFonts w:ascii="Arial" w:hAnsi="Arial"/>
        </w:rPr>
        <w:t>5</w:t>
      </w:r>
      <w:r w:rsidR="0006287B">
        <w:rPr>
          <w:rFonts w:ascii="Arial" w:hAnsi="Arial"/>
        </w:rPr>
        <w:t xml:space="preserve">) </w:t>
      </w:r>
      <w:r w:rsidR="00790C55">
        <w:rPr>
          <w:rFonts w:ascii="Arial" w:hAnsi="Arial"/>
        </w:rPr>
        <w:t>For expen</w:t>
      </w:r>
      <w:r w:rsidR="00D659C8">
        <w:rPr>
          <w:rFonts w:ascii="Arial" w:hAnsi="Arial"/>
        </w:rPr>
        <w:t>se</w:t>
      </w:r>
      <w:r w:rsidR="00790C55">
        <w:rPr>
          <w:rFonts w:ascii="Arial" w:hAnsi="Arial"/>
        </w:rPr>
        <w:t xml:space="preserve"> </w:t>
      </w:r>
      <w:r w:rsidR="00F94AE1">
        <w:rPr>
          <w:rFonts w:ascii="Arial" w:hAnsi="Arial"/>
        </w:rPr>
        <w:t xml:space="preserve">or revenue </w:t>
      </w:r>
      <w:r w:rsidR="00790C55">
        <w:rPr>
          <w:rFonts w:ascii="Arial" w:hAnsi="Arial"/>
        </w:rPr>
        <w:t>statement captions</w:t>
      </w:r>
      <w:r w:rsidR="001E3EEB">
        <w:rPr>
          <w:rFonts w:ascii="Arial" w:hAnsi="Arial"/>
        </w:rPr>
        <w:t>,</w:t>
      </w:r>
      <w:r w:rsidR="00790C55">
        <w:rPr>
          <w:rFonts w:ascii="Arial" w:hAnsi="Arial"/>
        </w:rPr>
        <w:t xml:space="preserve"> </w:t>
      </w:r>
      <w:r w:rsidR="00A309AA">
        <w:rPr>
          <w:rFonts w:ascii="Arial" w:hAnsi="Arial"/>
        </w:rPr>
        <w:t>record</w:t>
      </w:r>
      <w:r w:rsidR="00790C55">
        <w:rPr>
          <w:rFonts w:ascii="Arial" w:hAnsi="Arial"/>
        </w:rPr>
        <w:t xml:space="preserve"> restatement</w:t>
      </w:r>
      <w:r w:rsidR="00232DE0">
        <w:rPr>
          <w:rFonts w:ascii="Arial" w:hAnsi="Arial"/>
        </w:rPr>
        <w:t>(s)</w:t>
      </w:r>
      <w:r w:rsidR="00790C55">
        <w:rPr>
          <w:rFonts w:ascii="Arial" w:hAnsi="Arial"/>
        </w:rPr>
        <w:t xml:space="preserve"> to program and/or general revenues, functional expen</w:t>
      </w:r>
      <w:r w:rsidR="00D659C8">
        <w:rPr>
          <w:rFonts w:ascii="Arial" w:hAnsi="Arial"/>
        </w:rPr>
        <w:t>ses</w:t>
      </w:r>
      <w:r w:rsidR="00790C55">
        <w:rPr>
          <w:rFonts w:ascii="Arial" w:hAnsi="Arial"/>
        </w:rPr>
        <w:t>, transfers, or direct adjustments to beginning net position</w:t>
      </w:r>
      <w:r w:rsidR="00A87746">
        <w:rPr>
          <w:rFonts w:ascii="Arial" w:hAnsi="Arial"/>
        </w:rPr>
        <w:t xml:space="preserve"> if the restatement relates to a period prior to FY 2024</w:t>
      </w:r>
      <w:r w:rsidR="00790C55">
        <w:rPr>
          <w:rFonts w:ascii="Arial" w:hAnsi="Arial"/>
        </w:rPr>
        <w:t xml:space="preserve">.   </w:t>
      </w:r>
    </w:p>
    <w:p w14:paraId="6280D722" w14:textId="77777777" w:rsidR="00064120" w:rsidRDefault="00064120" w:rsidP="00790C55">
      <w:pPr>
        <w:jc w:val="both"/>
        <w:rPr>
          <w:rFonts w:ascii="Arial" w:hAnsi="Arial"/>
        </w:rPr>
      </w:pPr>
    </w:p>
    <w:p w14:paraId="33753C10" w14:textId="341EBC47" w:rsidR="00000844" w:rsidRDefault="00473445" w:rsidP="00000844">
      <w:pPr>
        <w:jc w:val="both"/>
        <w:rPr>
          <w:rFonts w:ascii="Arial" w:hAnsi="Arial"/>
        </w:rPr>
      </w:pPr>
      <w:r>
        <w:rPr>
          <w:rFonts w:ascii="Arial" w:hAnsi="Arial"/>
        </w:rPr>
        <w:t>6</w:t>
      </w:r>
      <w:r w:rsidR="00A87746">
        <w:rPr>
          <w:rFonts w:ascii="Arial" w:hAnsi="Arial"/>
        </w:rPr>
        <w:t xml:space="preserve">) </w:t>
      </w:r>
      <w:r w:rsidR="00F15DE9">
        <w:rPr>
          <w:rFonts w:ascii="Arial" w:hAnsi="Arial"/>
        </w:rPr>
        <w:t xml:space="preserve">For each caption being restated, a </w:t>
      </w:r>
      <w:r w:rsidR="00F15DE9" w:rsidRPr="00B15E6C">
        <w:rPr>
          <w:rFonts w:ascii="Arial" w:hAnsi="Arial"/>
          <w:b/>
          <w:bCs/>
          <w:color w:val="0070C0"/>
        </w:rPr>
        <w:t>“Reason</w:t>
      </w:r>
      <w:r w:rsidR="00F15DE9">
        <w:rPr>
          <w:rFonts w:ascii="Arial" w:hAnsi="Arial"/>
        </w:rPr>
        <w:t xml:space="preserve">” should be selected from the drop-down menu to the right of the caption.  </w:t>
      </w:r>
      <w:r w:rsidR="00000844">
        <w:rPr>
          <w:rFonts w:ascii="Arial" w:hAnsi="Arial"/>
        </w:rPr>
        <w:t xml:space="preserve">Restatements related to Changes in Accounting Principles will begin with </w:t>
      </w:r>
      <w:r w:rsidR="00000844" w:rsidRPr="00A8774E">
        <w:rPr>
          <w:rFonts w:ascii="Arial" w:hAnsi="Arial"/>
          <w:b/>
          <w:bCs/>
        </w:rPr>
        <w:t>“O”</w:t>
      </w:r>
      <w:r w:rsidR="00000844">
        <w:rPr>
          <w:rFonts w:ascii="Arial" w:hAnsi="Arial"/>
        </w:rPr>
        <w:t xml:space="preserve"> and restatements related to Error Corrections will begin with </w:t>
      </w:r>
      <w:r w:rsidR="00000844" w:rsidRPr="00A8774E">
        <w:rPr>
          <w:rFonts w:ascii="Arial" w:hAnsi="Arial"/>
          <w:b/>
          <w:bCs/>
        </w:rPr>
        <w:t>“ER.”</w:t>
      </w:r>
    </w:p>
    <w:p w14:paraId="79C1A2CF" w14:textId="338E08CE" w:rsidR="00000844" w:rsidRDefault="00000844" w:rsidP="00F15DE9">
      <w:pPr>
        <w:jc w:val="both"/>
        <w:rPr>
          <w:rFonts w:ascii="Arial" w:hAnsi="Arial"/>
        </w:rPr>
      </w:pPr>
    </w:p>
    <w:p w14:paraId="72B61F27" w14:textId="509378BD" w:rsidR="00C91CCE" w:rsidRPr="00F12997" w:rsidRDefault="00473445" w:rsidP="00790C55">
      <w:pPr>
        <w:jc w:val="both"/>
        <w:rPr>
          <w:rFonts w:ascii="Arial" w:hAnsi="Arial"/>
        </w:rPr>
      </w:pPr>
      <w:r>
        <w:rPr>
          <w:rFonts w:ascii="Arial" w:hAnsi="Arial"/>
        </w:rPr>
        <w:t>7</w:t>
      </w:r>
      <w:r w:rsidR="00D8205C">
        <w:rPr>
          <w:rFonts w:ascii="Arial" w:hAnsi="Arial"/>
        </w:rPr>
        <w:t xml:space="preserve">) </w:t>
      </w:r>
      <w:r w:rsidR="00790C55">
        <w:rPr>
          <w:rFonts w:ascii="Arial" w:hAnsi="Arial"/>
        </w:rPr>
        <w:t xml:space="preserve">In the Restatements column the </w:t>
      </w:r>
      <w:r w:rsidR="00790C55" w:rsidRPr="00C147C2">
        <w:rPr>
          <w:rFonts w:ascii="Arial" w:hAnsi="Arial"/>
          <w:i/>
        </w:rPr>
        <w:t>Balance Sheet, net</w:t>
      </w:r>
      <w:r w:rsidR="00790C55">
        <w:rPr>
          <w:rFonts w:ascii="Arial" w:hAnsi="Arial"/>
        </w:rPr>
        <w:t xml:space="preserve"> line must agree with the </w:t>
      </w:r>
      <w:r w:rsidR="00790C55" w:rsidRPr="00C147C2">
        <w:rPr>
          <w:rFonts w:ascii="Arial" w:hAnsi="Arial"/>
          <w:i/>
        </w:rPr>
        <w:t>Operating Statement, net</w:t>
      </w:r>
      <w:r w:rsidR="00790C55">
        <w:rPr>
          <w:rFonts w:ascii="Arial" w:hAnsi="Arial"/>
        </w:rPr>
        <w:t xml:space="preserve"> line.  The </w:t>
      </w:r>
      <w:r w:rsidR="00790C55" w:rsidRPr="00C147C2">
        <w:rPr>
          <w:rFonts w:ascii="Arial" w:hAnsi="Arial"/>
          <w:i/>
        </w:rPr>
        <w:t>Balance Sheet, net</w:t>
      </w:r>
      <w:r w:rsidR="00790C55">
        <w:rPr>
          <w:rFonts w:ascii="Arial" w:hAnsi="Arial"/>
        </w:rPr>
        <w:t xml:space="preserve"> and the </w:t>
      </w:r>
      <w:r w:rsidR="00790C55" w:rsidRPr="00C147C2">
        <w:rPr>
          <w:rFonts w:ascii="Arial" w:hAnsi="Arial"/>
          <w:i/>
        </w:rPr>
        <w:t>Operating Statement, net</w:t>
      </w:r>
      <w:r w:rsidR="00790C55">
        <w:rPr>
          <w:rFonts w:ascii="Arial" w:hAnsi="Arial"/>
        </w:rPr>
        <w:t xml:space="preserve"> in the </w:t>
      </w:r>
      <w:r w:rsidR="00790C55" w:rsidRPr="00FE4780">
        <w:rPr>
          <w:rFonts w:ascii="Arial" w:hAnsi="Arial"/>
        </w:rPr>
        <w:t xml:space="preserve">Restatements </w:t>
      </w:r>
      <w:r w:rsidR="00790C55">
        <w:rPr>
          <w:rFonts w:ascii="Arial" w:hAnsi="Arial"/>
        </w:rPr>
        <w:t>c</w:t>
      </w:r>
      <w:r w:rsidR="00790C55" w:rsidRPr="00FE4780">
        <w:rPr>
          <w:rFonts w:ascii="Arial" w:hAnsi="Arial"/>
        </w:rPr>
        <w:t>olumn</w:t>
      </w:r>
      <w:r w:rsidR="00790C55">
        <w:rPr>
          <w:rFonts w:ascii="Arial" w:hAnsi="Arial"/>
        </w:rPr>
        <w:t xml:space="preserve"> </w:t>
      </w:r>
      <w:r w:rsidR="00790C55" w:rsidRPr="00FE4780">
        <w:rPr>
          <w:rFonts w:ascii="Arial" w:hAnsi="Arial"/>
          <w:b/>
        </w:rPr>
        <w:t>must</w:t>
      </w:r>
      <w:r w:rsidR="00790C55">
        <w:rPr>
          <w:rFonts w:ascii="Arial" w:hAnsi="Arial"/>
        </w:rPr>
        <w:t xml:space="preserve"> equal the amount reported in the restatement account 3</w:t>
      </w:r>
      <w:r w:rsidR="009F6CD0">
        <w:rPr>
          <w:rFonts w:ascii="Arial" w:hAnsi="Arial"/>
        </w:rPr>
        <w:t>2</w:t>
      </w:r>
      <w:r w:rsidR="00790C55">
        <w:rPr>
          <w:rFonts w:ascii="Arial" w:hAnsi="Arial"/>
        </w:rPr>
        <w:t>0001</w:t>
      </w:r>
      <w:r w:rsidR="000D2004">
        <w:rPr>
          <w:rFonts w:ascii="Arial" w:hAnsi="Arial"/>
        </w:rPr>
        <w:t>00</w:t>
      </w:r>
      <w:r w:rsidR="00790C55" w:rsidRPr="00F12997">
        <w:rPr>
          <w:rFonts w:ascii="Arial" w:hAnsi="Arial"/>
        </w:rPr>
        <w:t xml:space="preserve"> </w:t>
      </w:r>
      <w:r w:rsidR="00790C55" w:rsidRPr="005410CF">
        <w:rPr>
          <w:rFonts w:ascii="Arial" w:hAnsi="Arial"/>
        </w:rPr>
        <w:t>plus any GASB fund reclass (change between prior year 6/30 ending fund balance and current year 7/1 beginning fund balance).</w:t>
      </w:r>
      <w:r w:rsidR="00790C55" w:rsidRPr="00F12997">
        <w:rPr>
          <w:rFonts w:ascii="Arial" w:hAnsi="Arial"/>
        </w:rPr>
        <w:t xml:space="preserve">  </w:t>
      </w:r>
      <w:r w:rsidR="000334D9">
        <w:rPr>
          <w:rFonts w:ascii="Arial" w:hAnsi="Arial"/>
        </w:rPr>
        <w:t>Total Restatement should agree to the Total Restatement reported on the 430BTA.</w:t>
      </w:r>
      <w:r w:rsidR="00790C55" w:rsidRPr="00F12997">
        <w:rPr>
          <w:rFonts w:ascii="Arial" w:hAnsi="Arial"/>
        </w:rPr>
        <w:t xml:space="preserve">  </w:t>
      </w:r>
    </w:p>
    <w:bookmarkEnd w:id="7"/>
    <w:p w14:paraId="5A55857B" w14:textId="77777777" w:rsidR="001937FE" w:rsidRPr="005A327E" w:rsidRDefault="001937FE">
      <w:pPr>
        <w:rPr>
          <w:rFonts w:ascii="Arial" w:hAnsi="Arial"/>
          <w:b/>
          <w:i/>
          <w:color w:val="FF0000"/>
          <w:sz w:val="24"/>
          <w:u w:val="single"/>
        </w:rPr>
      </w:pPr>
    </w:p>
    <w:p w14:paraId="30B8C15B" w14:textId="77777777" w:rsidR="005135BB" w:rsidRPr="005A327E" w:rsidRDefault="005135BB">
      <w:pPr>
        <w:rPr>
          <w:rFonts w:ascii="Arial" w:hAnsi="Arial"/>
          <w:b/>
          <w:i/>
          <w:color w:val="FF0000"/>
          <w:sz w:val="24"/>
          <w:u w:val="single"/>
        </w:rPr>
      </w:pPr>
    </w:p>
    <w:p w14:paraId="076CCD9F" w14:textId="77777777" w:rsidR="005135BB" w:rsidRDefault="005135BB" w:rsidP="00125199">
      <w:pPr>
        <w:jc w:val="both"/>
        <w:rPr>
          <w:rFonts w:ascii="Arial" w:hAnsi="Arial"/>
          <w:b/>
          <w:u w:val="single"/>
        </w:rPr>
      </w:pPr>
    </w:p>
    <w:p w14:paraId="7CDAA4F6" w14:textId="77777777" w:rsidR="005135BB" w:rsidRDefault="005135BB" w:rsidP="00125199">
      <w:pPr>
        <w:jc w:val="both"/>
        <w:rPr>
          <w:rFonts w:ascii="Arial" w:hAnsi="Arial"/>
          <w:b/>
          <w:u w:val="single"/>
        </w:rPr>
      </w:pPr>
    </w:p>
    <w:p w14:paraId="6C67860B" w14:textId="7418F778" w:rsidR="000C36F4" w:rsidRDefault="00125199" w:rsidP="00125199">
      <w:pPr>
        <w:jc w:val="both"/>
        <w:rPr>
          <w:rFonts w:ascii="Arial" w:hAnsi="Arial"/>
          <w:b/>
        </w:rPr>
      </w:pPr>
      <w:r w:rsidRPr="004D750C">
        <w:rPr>
          <w:rFonts w:ascii="Arial" w:hAnsi="Arial"/>
          <w:b/>
          <w:u w:val="single"/>
        </w:rPr>
        <w:t>431BTA-CU</w:t>
      </w:r>
      <w:r w:rsidR="001C00A5" w:rsidRPr="004D750C">
        <w:rPr>
          <w:rFonts w:ascii="Arial" w:hAnsi="Arial"/>
          <w:b/>
          <w:u w:val="single"/>
        </w:rPr>
        <w:t xml:space="preserve"> (Restatements Part 2 for Component Units)</w:t>
      </w:r>
      <w:r w:rsidR="00F606F6">
        <w:rPr>
          <w:rFonts w:ascii="Arial" w:hAnsi="Arial"/>
          <w:b/>
        </w:rPr>
        <w:t xml:space="preserve"> – Completed by Universities and Other Component Units</w:t>
      </w:r>
      <w:r w:rsidR="000C36F4">
        <w:rPr>
          <w:rFonts w:ascii="Arial" w:hAnsi="Arial"/>
          <w:b/>
        </w:rPr>
        <w:t>.</w:t>
      </w:r>
    </w:p>
    <w:p w14:paraId="58A067CD" w14:textId="5FC74529" w:rsidR="00125199" w:rsidRDefault="004D750C" w:rsidP="00125199">
      <w:pPr>
        <w:jc w:val="both"/>
        <w:rPr>
          <w:rFonts w:ascii="Arial" w:hAnsi="Arial"/>
        </w:rPr>
      </w:pPr>
      <w:r>
        <w:rPr>
          <w:rFonts w:ascii="Arial" w:hAnsi="Arial"/>
        </w:rPr>
        <w:t xml:space="preserve">1) </w:t>
      </w:r>
      <w:r w:rsidR="00125199">
        <w:rPr>
          <w:rFonts w:ascii="Arial" w:hAnsi="Arial"/>
        </w:rPr>
        <w:t>Key only the 6/30/2</w:t>
      </w:r>
      <w:r w:rsidR="00887515">
        <w:rPr>
          <w:rFonts w:ascii="Arial" w:hAnsi="Arial"/>
        </w:rPr>
        <w:t>4</w:t>
      </w:r>
      <w:r w:rsidR="00125199">
        <w:rPr>
          <w:rFonts w:ascii="Arial" w:hAnsi="Arial"/>
        </w:rPr>
        <w:t xml:space="preserve"> balances for statement captions impacted by the restatement as they appear</w:t>
      </w:r>
      <w:r w:rsidR="003C0037">
        <w:rPr>
          <w:rFonts w:ascii="Arial" w:hAnsi="Arial"/>
        </w:rPr>
        <w:t>ed</w:t>
      </w:r>
      <w:r w:rsidR="00071EA3">
        <w:rPr>
          <w:rFonts w:ascii="Arial" w:hAnsi="Arial"/>
        </w:rPr>
        <w:t xml:space="preserve"> on the prior year financial statements</w:t>
      </w:r>
      <w:r w:rsidR="00125199">
        <w:rPr>
          <w:rFonts w:ascii="Arial" w:hAnsi="Arial"/>
        </w:rPr>
        <w:t xml:space="preserve">.  Enter restatement increases as positives and decreases as negatives in the Restatements column.  Balance sheet and operating statement changes are calculated based on the caption type and sign.  For example, an increase to </w:t>
      </w:r>
      <w:proofErr w:type="gramStart"/>
      <w:r w:rsidR="00125199">
        <w:rPr>
          <w:rFonts w:ascii="Arial" w:hAnsi="Arial"/>
        </w:rPr>
        <w:t>a liability</w:t>
      </w:r>
      <w:proofErr w:type="gramEnd"/>
      <w:r w:rsidR="00125199">
        <w:rPr>
          <w:rFonts w:ascii="Arial" w:hAnsi="Arial"/>
        </w:rPr>
        <w:t xml:space="preserve"> should be entered as a positive amount on the worksheet but will calculate to decrease net position.</w:t>
      </w:r>
    </w:p>
    <w:p w14:paraId="1CBB0794" w14:textId="77777777" w:rsidR="00125199" w:rsidRDefault="00125199" w:rsidP="00125199">
      <w:pPr>
        <w:jc w:val="both"/>
        <w:rPr>
          <w:rFonts w:ascii="Arial" w:hAnsi="Arial"/>
        </w:rPr>
      </w:pPr>
    </w:p>
    <w:p w14:paraId="4E1E8604" w14:textId="5DC7E2B0" w:rsidR="00125199" w:rsidRDefault="000A38DF" w:rsidP="00125199">
      <w:pPr>
        <w:jc w:val="both"/>
        <w:rPr>
          <w:rFonts w:ascii="Arial" w:hAnsi="Arial"/>
        </w:rPr>
      </w:pPr>
      <w:r>
        <w:rPr>
          <w:rFonts w:ascii="Arial" w:hAnsi="Arial"/>
        </w:rPr>
        <w:t xml:space="preserve">2) </w:t>
      </w:r>
      <w:r w:rsidR="00125199">
        <w:rPr>
          <w:rFonts w:ascii="Arial" w:hAnsi="Arial"/>
        </w:rPr>
        <w:t xml:space="preserve">For </w:t>
      </w:r>
      <w:r w:rsidR="0021272D">
        <w:rPr>
          <w:rFonts w:ascii="Arial" w:hAnsi="Arial"/>
        </w:rPr>
        <w:t>B</w:t>
      </w:r>
      <w:r w:rsidR="00125199" w:rsidRPr="0021272D">
        <w:rPr>
          <w:rFonts w:ascii="Arial" w:hAnsi="Arial"/>
          <w:i/>
          <w:iCs/>
        </w:rPr>
        <w:t xml:space="preserve">alance </w:t>
      </w:r>
      <w:r w:rsidR="0021272D">
        <w:rPr>
          <w:rFonts w:ascii="Arial" w:hAnsi="Arial"/>
          <w:i/>
          <w:iCs/>
        </w:rPr>
        <w:t>S</w:t>
      </w:r>
      <w:r w:rsidR="00125199" w:rsidRPr="0021272D">
        <w:rPr>
          <w:rFonts w:ascii="Arial" w:hAnsi="Arial"/>
          <w:i/>
          <w:iCs/>
        </w:rPr>
        <w:t>heet</w:t>
      </w:r>
      <w:r w:rsidR="00125199">
        <w:rPr>
          <w:rFonts w:ascii="Arial" w:hAnsi="Arial"/>
        </w:rPr>
        <w:t xml:space="preserve"> caption items that are impacted by the restatement, report the balance(s) as originally reported at 6-30-202</w:t>
      </w:r>
      <w:r w:rsidR="00622409">
        <w:rPr>
          <w:rFonts w:ascii="Arial" w:hAnsi="Arial"/>
        </w:rPr>
        <w:t>4</w:t>
      </w:r>
      <w:r w:rsidR="00125199">
        <w:rPr>
          <w:rFonts w:ascii="Arial" w:hAnsi="Arial"/>
        </w:rPr>
        <w:t xml:space="preserve"> and record the changes to assets/deferred outflows and/or liabilities/deferred inflows </w:t>
      </w:r>
      <w:proofErr w:type="gramStart"/>
      <w:r w:rsidR="00125199">
        <w:rPr>
          <w:rFonts w:ascii="Arial" w:hAnsi="Arial"/>
        </w:rPr>
        <w:t>as a result of</w:t>
      </w:r>
      <w:proofErr w:type="gramEnd"/>
      <w:r w:rsidR="00125199">
        <w:rPr>
          <w:rFonts w:ascii="Arial" w:hAnsi="Arial"/>
        </w:rPr>
        <w:t xml:space="preserve"> the restatement.  </w:t>
      </w:r>
      <w:r w:rsidR="00125199" w:rsidRPr="008B677D">
        <w:rPr>
          <w:rFonts w:ascii="Arial" w:hAnsi="Arial"/>
        </w:rPr>
        <w:t>In addition, record the impact of the restatement to the appropriate net position caption (net investment in capital assets, restricted or unrestricted).</w:t>
      </w:r>
      <w:r w:rsidR="00125199">
        <w:rPr>
          <w:rFonts w:ascii="Arial" w:hAnsi="Arial"/>
        </w:rPr>
        <w:t xml:space="preserve">  </w:t>
      </w:r>
    </w:p>
    <w:p w14:paraId="04082BB6" w14:textId="77777777" w:rsidR="00125199" w:rsidRDefault="00125199" w:rsidP="00125199">
      <w:pPr>
        <w:jc w:val="both"/>
        <w:rPr>
          <w:rFonts w:ascii="Arial" w:hAnsi="Arial"/>
        </w:rPr>
      </w:pPr>
    </w:p>
    <w:p w14:paraId="488199F1" w14:textId="1814AC79" w:rsidR="00125199" w:rsidRDefault="000A38DF" w:rsidP="00125199">
      <w:pPr>
        <w:jc w:val="both"/>
        <w:rPr>
          <w:rFonts w:ascii="Arial" w:hAnsi="Arial"/>
        </w:rPr>
      </w:pPr>
      <w:r>
        <w:rPr>
          <w:rFonts w:ascii="Arial" w:hAnsi="Arial"/>
        </w:rPr>
        <w:t xml:space="preserve">4) </w:t>
      </w:r>
      <w:r w:rsidR="00125199">
        <w:rPr>
          <w:rFonts w:ascii="Arial" w:hAnsi="Arial"/>
        </w:rPr>
        <w:t xml:space="preserve">For </w:t>
      </w:r>
      <w:r w:rsidR="00B163B1">
        <w:rPr>
          <w:rFonts w:ascii="Arial" w:hAnsi="Arial"/>
        </w:rPr>
        <w:t xml:space="preserve">the </w:t>
      </w:r>
      <w:r w:rsidR="0021272D">
        <w:rPr>
          <w:rFonts w:ascii="Arial" w:hAnsi="Arial"/>
        </w:rPr>
        <w:t>O</w:t>
      </w:r>
      <w:r w:rsidR="00B163B1" w:rsidRPr="0021272D">
        <w:rPr>
          <w:rFonts w:ascii="Arial" w:hAnsi="Arial"/>
          <w:i/>
          <w:iCs/>
        </w:rPr>
        <w:t xml:space="preserve">perating </w:t>
      </w:r>
      <w:r w:rsidR="0021272D">
        <w:rPr>
          <w:rFonts w:ascii="Arial" w:hAnsi="Arial"/>
          <w:i/>
          <w:iCs/>
        </w:rPr>
        <w:t>S</w:t>
      </w:r>
      <w:r w:rsidR="00B163B1" w:rsidRPr="0021272D">
        <w:rPr>
          <w:rFonts w:ascii="Arial" w:hAnsi="Arial"/>
          <w:i/>
          <w:iCs/>
        </w:rPr>
        <w:t>tatement</w:t>
      </w:r>
      <w:r w:rsidR="004C451D">
        <w:rPr>
          <w:rFonts w:ascii="Arial" w:hAnsi="Arial"/>
          <w:i/>
          <w:iCs/>
        </w:rPr>
        <w:t xml:space="preserve"> </w:t>
      </w:r>
      <w:r w:rsidR="004C451D">
        <w:rPr>
          <w:rFonts w:ascii="Arial" w:hAnsi="Arial"/>
        </w:rPr>
        <w:t>captions that are impacted</w:t>
      </w:r>
      <w:r w:rsidR="00125199">
        <w:rPr>
          <w:rFonts w:ascii="Arial" w:hAnsi="Arial"/>
        </w:rPr>
        <w:t>, record restatement(s) to program and/or general revenues,</w:t>
      </w:r>
      <w:r w:rsidR="006068B0">
        <w:rPr>
          <w:rFonts w:ascii="Arial" w:hAnsi="Arial"/>
        </w:rPr>
        <w:t xml:space="preserve"> or </w:t>
      </w:r>
      <w:r w:rsidR="00125199">
        <w:rPr>
          <w:rFonts w:ascii="Arial" w:hAnsi="Arial"/>
        </w:rPr>
        <w:t xml:space="preserve">expenses.   </w:t>
      </w:r>
    </w:p>
    <w:p w14:paraId="327B7DD3" w14:textId="77777777" w:rsidR="001E476C" w:rsidRDefault="001E476C" w:rsidP="00125199">
      <w:pPr>
        <w:jc w:val="both"/>
        <w:rPr>
          <w:rFonts w:ascii="Arial" w:hAnsi="Arial"/>
        </w:rPr>
      </w:pPr>
    </w:p>
    <w:p w14:paraId="5040327B" w14:textId="77777777" w:rsidR="0067262D" w:rsidRDefault="0067262D" w:rsidP="0067262D">
      <w:pPr>
        <w:jc w:val="both"/>
        <w:rPr>
          <w:rFonts w:ascii="Arial" w:hAnsi="Arial"/>
        </w:rPr>
      </w:pPr>
      <w:r>
        <w:rPr>
          <w:rFonts w:ascii="Arial" w:hAnsi="Arial"/>
        </w:rPr>
        <w:t xml:space="preserve">5) </w:t>
      </w:r>
      <w:r w:rsidR="001E476C">
        <w:rPr>
          <w:rFonts w:ascii="Arial" w:hAnsi="Arial"/>
        </w:rPr>
        <w:t xml:space="preserve">For each caption being restated, a </w:t>
      </w:r>
      <w:r w:rsidR="001E476C" w:rsidRPr="00B15E6C">
        <w:rPr>
          <w:rFonts w:ascii="Arial" w:hAnsi="Arial"/>
          <w:b/>
          <w:bCs/>
          <w:color w:val="0070C0"/>
        </w:rPr>
        <w:t>“Reason</w:t>
      </w:r>
      <w:r w:rsidR="001E476C">
        <w:rPr>
          <w:rFonts w:ascii="Arial" w:hAnsi="Arial"/>
        </w:rPr>
        <w:t xml:space="preserve">” should be selected from the drop-down menu to the right of the caption.  </w:t>
      </w:r>
      <w:r>
        <w:rPr>
          <w:rFonts w:ascii="Arial" w:hAnsi="Arial"/>
        </w:rPr>
        <w:t xml:space="preserve">Restatements related to Changes in Accounting Principles will begin with </w:t>
      </w:r>
      <w:r w:rsidRPr="00A8774E">
        <w:rPr>
          <w:rFonts w:ascii="Arial" w:hAnsi="Arial"/>
          <w:b/>
          <w:bCs/>
        </w:rPr>
        <w:t>“O”</w:t>
      </w:r>
      <w:r>
        <w:rPr>
          <w:rFonts w:ascii="Arial" w:hAnsi="Arial"/>
        </w:rPr>
        <w:t xml:space="preserve"> and restatements related to Error Corrections will begin with </w:t>
      </w:r>
      <w:r w:rsidRPr="00A8774E">
        <w:rPr>
          <w:rFonts w:ascii="Arial" w:hAnsi="Arial"/>
          <w:b/>
          <w:bCs/>
        </w:rPr>
        <w:t>“ER.”</w:t>
      </w:r>
    </w:p>
    <w:p w14:paraId="2EFB8E90" w14:textId="77777777" w:rsidR="00125199" w:rsidRDefault="00125199" w:rsidP="00125199">
      <w:pPr>
        <w:jc w:val="both"/>
        <w:rPr>
          <w:rFonts w:ascii="Arial" w:hAnsi="Arial"/>
        </w:rPr>
      </w:pPr>
    </w:p>
    <w:p w14:paraId="03990641" w14:textId="2AF43910" w:rsidR="00125199" w:rsidRPr="00F12997" w:rsidRDefault="002B3681" w:rsidP="00125199">
      <w:pPr>
        <w:jc w:val="both"/>
        <w:rPr>
          <w:rFonts w:ascii="Arial" w:hAnsi="Arial"/>
        </w:rPr>
      </w:pPr>
      <w:r>
        <w:rPr>
          <w:rFonts w:ascii="Arial" w:hAnsi="Arial"/>
        </w:rPr>
        <w:t xml:space="preserve">6) </w:t>
      </w:r>
      <w:r w:rsidR="00125199">
        <w:rPr>
          <w:rFonts w:ascii="Arial" w:hAnsi="Arial"/>
        </w:rPr>
        <w:t>In the Restatements column the</w:t>
      </w:r>
      <w:r w:rsidR="00EF369E">
        <w:rPr>
          <w:rFonts w:ascii="Arial" w:hAnsi="Arial"/>
        </w:rPr>
        <w:t xml:space="preserve"> total</w:t>
      </w:r>
      <w:r w:rsidR="00125199">
        <w:rPr>
          <w:rFonts w:ascii="Arial" w:hAnsi="Arial"/>
        </w:rPr>
        <w:t xml:space="preserve"> </w:t>
      </w:r>
      <w:r w:rsidR="00125199" w:rsidRPr="00C147C2">
        <w:rPr>
          <w:rFonts w:ascii="Arial" w:hAnsi="Arial"/>
          <w:i/>
        </w:rPr>
        <w:t>Balance Sheet</w:t>
      </w:r>
      <w:r w:rsidR="00EF369E">
        <w:rPr>
          <w:rFonts w:ascii="Arial" w:hAnsi="Arial"/>
          <w:i/>
        </w:rPr>
        <w:t xml:space="preserve"> </w:t>
      </w:r>
      <w:r w:rsidR="004254A9">
        <w:rPr>
          <w:rFonts w:ascii="Arial" w:hAnsi="Arial"/>
          <w:i/>
        </w:rPr>
        <w:t xml:space="preserve">Change </w:t>
      </w:r>
      <w:r w:rsidR="004254A9">
        <w:rPr>
          <w:rFonts w:ascii="Arial" w:hAnsi="Arial"/>
        </w:rPr>
        <w:t>line</w:t>
      </w:r>
      <w:r w:rsidR="00125199">
        <w:rPr>
          <w:rFonts w:ascii="Arial" w:hAnsi="Arial"/>
        </w:rPr>
        <w:t xml:space="preserve"> must agree with the</w:t>
      </w:r>
      <w:r w:rsidR="00EF369E">
        <w:rPr>
          <w:rFonts w:ascii="Arial" w:hAnsi="Arial"/>
        </w:rPr>
        <w:t xml:space="preserve"> total</w:t>
      </w:r>
      <w:r w:rsidR="00125199">
        <w:rPr>
          <w:rFonts w:ascii="Arial" w:hAnsi="Arial"/>
        </w:rPr>
        <w:t xml:space="preserve"> </w:t>
      </w:r>
      <w:r w:rsidR="00125199" w:rsidRPr="00C147C2">
        <w:rPr>
          <w:rFonts w:ascii="Arial" w:hAnsi="Arial"/>
          <w:i/>
        </w:rPr>
        <w:t>Operating Statement</w:t>
      </w:r>
      <w:r w:rsidR="00EF369E">
        <w:rPr>
          <w:rFonts w:ascii="Arial" w:hAnsi="Arial"/>
          <w:i/>
        </w:rPr>
        <w:t xml:space="preserve"> Change</w:t>
      </w:r>
      <w:r w:rsidR="00125199">
        <w:rPr>
          <w:rFonts w:ascii="Arial" w:hAnsi="Arial"/>
        </w:rPr>
        <w:t xml:space="preserve"> line.  The</w:t>
      </w:r>
      <w:r w:rsidR="00721549">
        <w:rPr>
          <w:rFonts w:ascii="Arial" w:hAnsi="Arial"/>
        </w:rPr>
        <w:t xml:space="preserve"> </w:t>
      </w:r>
      <w:r w:rsidR="004254A9">
        <w:rPr>
          <w:rFonts w:ascii="Arial" w:hAnsi="Arial"/>
        </w:rPr>
        <w:t>total</w:t>
      </w:r>
      <w:r w:rsidR="00125199">
        <w:rPr>
          <w:rFonts w:ascii="Arial" w:hAnsi="Arial"/>
        </w:rPr>
        <w:t xml:space="preserve"> </w:t>
      </w:r>
      <w:r w:rsidR="00125199" w:rsidRPr="00C147C2">
        <w:rPr>
          <w:rFonts w:ascii="Arial" w:hAnsi="Arial"/>
          <w:i/>
        </w:rPr>
        <w:t>Balance Sheet</w:t>
      </w:r>
      <w:r w:rsidR="00721549">
        <w:rPr>
          <w:rFonts w:ascii="Arial" w:hAnsi="Arial"/>
          <w:i/>
        </w:rPr>
        <w:t xml:space="preserve"> Change</w:t>
      </w:r>
      <w:r w:rsidR="00125199">
        <w:rPr>
          <w:rFonts w:ascii="Arial" w:hAnsi="Arial"/>
        </w:rPr>
        <w:t xml:space="preserve"> and the</w:t>
      </w:r>
      <w:r w:rsidR="00721549">
        <w:rPr>
          <w:rFonts w:ascii="Arial" w:hAnsi="Arial"/>
        </w:rPr>
        <w:t xml:space="preserve"> total</w:t>
      </w:r>
      <w:r w:rsidR="00125199">
        <w:rPr>
          <w:rFonts w:ascii="Arial" w:hAnsi="Arial"/>
        </w:rPr>
        <w:t xml:space="preserve"> </w:t>
      </w:r>
      <w:r w:rsidR="00125199" w:rsidRPr="00C147C2">
        <w:rPr>
          <w:rFonts w:ascii="Arial" w:hAnsi="Arial"/>
          <w:i/>
        </w:rPr>
        <w:t>Operating Statement</w:t>
      </w:r>
      <w:r w:rsidR="00721549">
        <w:rPr>
          <w:rFonts w:ascii="Arial" w:hAnsi="Arial"/>
          <w:i/>
        </w:rPr>
        <w:t xml:space="preserve"> </w:t>
      </w:r>
      <w:r w:rsidR="00E17BFD">
        <w:rPr>
          <w:rFonts w:ascii="Arial" w:hAnsi="Arial"/>
          <w:i/>
        </w:rPr>
        <w:t xml:space="preserve">Change </w:t>
      </w:r>
      <w:r w:rsidR="00E17BFD">
        <w:rPr>
          <w:rFonts w:ascii="Arial" w:hAnsi="Arial"/>
        </w:rPr>
        <w:t>in</w:t>
      </w:r>
      <w:r w:rsidR="00125199">
        <w:rPr>
          <w:rFonts w:ascii="Arial" w:hAnsi="Arial"/>
        </w:rPr>
        <w:t xml:space="preserve"> the </w:t>
      </w:r>
      <w:r w:rsidR="00125199" w:rsidRPr="00FE4780">
        <w:rPr>
          <w:rFonts w:ascii="Arial" w:hAnsi="Arial"/>
        </w:rPr>
        <w:t xml:space="preserve">Restatements </w:t>
      </w:r>
      <w:r w:rsidR="00125199">
        <w:rPr>
          <w:rFonts w:ascii="Arial" w:hAnsi="Arial"/>
        </w:rPr>
        <w:t>c</w:t>
      </w:r>
      <w:r w:rsidR="00125199" w:rsidRPr="00FE4780">
        <w:rPr>
          <w:rFonts w:ascii="Arial" w:hAnsi="Arial"/>
        </w:rPr>
        <w:t>olumn</w:t>
      </w:r>
      <w:r w:rsidR="00125199">
        <w:rPr>
          <w:rFonts w:ascii="Arial" w:hAnsi="Arial"/>
        </w:rPr>
        <w:t xml:space="preserve"> </w:t>
      </w:r>
      <w:r w:rsidR="00125199" w:rsidRPr="00FE4780">
        <w:rPr>
          <w:rFonts w:ascii="Arial" w:hAnsi="Arial"/>
          <w:b/>
        </w:rPr>
        <w:t>must</w:t>
      </w:r>
      <w:r w:rsidR="00125199">
        <w:rPr>
          <w:rFonts w:ascii="Arial" w:hAnsi="Arial"/>
        </w:rPr>
        <w:t xml:space="preserve"> equal the amount reported</w:t>
      </w:r>
      <w:r w:rsidR="00FC69B4">
        <w:rPr>
          <w:rFonts w:ascii="Arial" w:hAnsi="Arial"/>
        </w:rPr>
        <w:t xml:space="preserve"> on the</w:t>
      </w:r>
      <w:r w:rsidR="00125199">
        <w:rPr>
          <w:rFonts w:ascii="Arial" w:hAnsi="Arial"/>
        </w:rPr>
        <w:t xml:space="preserve"> restatement </w:t>
      </w:r>
      <w:r w:rsidR="00FC69B4">
        <w:rPr>
          <w:rFonts w:ascii="Arial" w:hAnsi="Arial"/>
        </w:rPr>
        <w:t xml:space="preserve">caption of the 905 </w:t>
      </w:r>
      <w:r w:rsidR="00D92F71">
        <w:rPr>
          <w:rFonts w:ascii="Arial" w:hAnsi="Arial"/>
        </w:rPr>
        <w:t xml:space="preserve">or the </w:t>
      </w:r>
      <w:r w:rsidR="008238C7">
        <w:rPr>
          <w:rFonts w:ascii="Arial" w:hAnsi="Arial"/>
        </w:rPr>
        <w:t xml:space="preserve">restatement reported in the </w:t>
      </w:r>
      <w:r w:rsidR="00D92F71">
        <w:rPr>
          <w:rFonts w:ascii="Arial" w:hAnsi="Arial"/>
        </w:rPr>
        <w:t>operating statement for other component units.</w:t>
      </w:r>
      <w:r w:rsidR="00125199" w:rsidRPr="00F12997">
        <w:rPr>
          <w:rFonts w:ascii="Arial" w:hAnsi="Arial"/>
        </w:rPr>
        <w:t xml:space="preserve">  </w:t>
      </w:r>
    </w:p>
    <w:p w14:paraId="59E31588" w14:textId="77777777" w:rsidR="00036904" w:rsidRDefault="00036904" w:rsidP="00125199">
      <w:pPr>
        <w:jc w:val="both"/>
        <w:rPr>
          <w:rFonts w:ascii="Arial" w:hAnsi="Arial"/>
        </w:rPr>
      </w:pPr>
    </w:p>
    <w:p w14:paraId="48DF9842" w14:textId="5EB1F610" w:rsidR="00036904" w:rsidRPr="00F12997" w:rsidRDefault="00036904" w:rsidP="00125199">
      <w:pPr>
        <w:jc w:val="both"/>
        <w:rPr>
          <w:rFonts w:ascii="Arial" w:hAnsi="Arial"/>
        </w:rPr>
      </w:pPr>
      <w:r>
        <w:rPr>
          <w:rFonts w:ascii="Arial" w:hAnsi="Arial"/>
        </w:rPr>
        <w:t>NOTE: For FY 2025</w:t>
      </w:r>
      <w:r w:rsidR="002B3E3B">
        <w:rPr>
          <w:rFonts w:ascii="Arial" w:hAnsi="Arial"/>
        </w:rPr>
        <w:t>,</w:t>
      </w:r>
      <w:r>
        <w:rPr>
          <w:rFonts w:ascii="Arial" w:hAnsi="Arial"/>
        </w:rPr>
        <w:t xml:space="preserve"> a </w:t>
      </w:r>
      <w:r w:rsidR="004D215A">
        <w:rPr>
          <w:rFonts w:ascii="Arial" w:hAnsi="Arial"/>
        </w:rPr>
        <w:t>lookup table has bee</w:t>
      </w:r>
      <w:r w:rsidR="006F795D">
        <w:rPr>
          <w:rFonts w:ascii="Arial" w:hAnsi="Arial"/>
        </w:rPr>
        <w:t>n</w:t>
      </w:r>
      <w:r w:rsidR="004D215A">
        <w:rPr>
          <w:rFonts w:ascii="Arial" w:hAnsi="Arial"/>
        </w:rPr>
        <w:t xml:space="preserve"> provided for the Operating Statement section to identify which </w:t>
      </w:r>
      <w:r w:rsidR="006F795D">
        <w:rPr>
          <w:rFonts w:ascii="Arial" w:hAnsi="Arial"/>
        </w:rPr>
        <w:t xml:space="preserve">Operating Statement </w:t>
      </w:r>
      <w:r w:rsidR="004D215A">
        <w:rPr>
          <w:rFonts w:ascii="Arial" w:hAnsi="Arial"/>
        </w:rPr>
        <w:t xml:space="preserve">roll up caption is impacted by a restatement </w:t>
      </w:r>
      <w:r w:rsidR="00360444">
        <w:rPr>
          <w:rFonts w:ascii="Arial" w:hAnsi="Arial"/>
        </w:rPr>
        <w:t>in connection with the 905 captions</w:t>
      </w:r>
      <w:r w:rsidR="006F795D">
        <w:rPr>
          <w:rFonts w:ascii="Arial" w:hAnsi="Arial"/>
        </w:rPr>
        <w:t>.</w:t>
      </w:r>
      <w:r w:rsidR="004D215A">
        <w:rPr>
          <w:rFonts w:ascii="Arial" w:hAnsi="Arial"/>
        </w:rPr>
        <w:t xml:space="preserve"> </w:t>
      </w:r>
    </w:p>
    <w:p w14:paraId="4DEEAFE3" w14:textId="77777777" w:rsidR="005A327E" w:rsidRDefault="005A327E" w:rsidP="005A327E">
      <w:pPr>
        <w:jc w:val="both"/>
        <w:rPr>
          <w:rFonts w:ascii="Arial" w:hAnsi="Arial"/>
          <w:b/>
          <w:i/>
          <w:iCs/>
          <w:color w:val="FF0000"/>
        </w:rPr>
      </w:pPr>
    </w:p>
    <w:p w14:paraId="7F91866C" w14:textId="271C1951" w:rsidR="00542DB1" w:rsidRPr="00853205" w:rsidRDefault="008E7181" w:rsidP="008E7181">
      <w:pPr>
        <w:jc w:val="both"/>
        <w:rPr>
          <w:rFonts w:ascii="Arial" w:hAnsi="Arial"/>
          <w:u w:val="single"/>
        </w:rPr>
      </w:pPr>
      <w:r w:rsidRPr="00853205">
        <w:rPr>
          <w:rFonts w:ascii="Arial" w:hAnsi="Arial"/>
          <w:b/>
          <w:u w:val="single"/>
        </w:rPr>
        <w:t xml:space="preserve">431F </w:t>
      </w:r>
      <w:r w:rsidR="00853205" w:rsidRPr="00853205">
        <w:rPr>
          <w:rFonts w:ascii="Arial" w:hAnsi="Arial"/>
          <w:b/>
          <w:u w:val="single"/>
        </w:rPr>
        <w:t xml:space="preserve">Fiduciary </w:t>
      </w:r>
      <w:r w:rsidRPr="00853205">
        <w:rPr>
          <w:rFonts w:ascii="Arial" w:hAnsi="Arial"/>
          <w:b/>
          <w:u w:val="single"/>
        </w:rPr>
        <w:t xml:space="preserve">(Restatements Part 2 </w:t>
      </w:r>
      <w:r w:rsidR="00853205" w:rsidRPr="00853205">
        <w:rPr>
          <w:rFonts w:ascii="Arial" w:hAnsi="Arial"/>
          <w:b/>
          <w:u w:val="single"/>
        </w:rPr>
        <w:t>of 2</w:t>
      </w:r>
      <w:r w:rsidRPr="00853205">
        <w:rPr>
          <w:rFonts w:ascii="Arial" w:hAnsi="Arial"/>
          <w:b/>
          <w:u w:val="single"/>
        </w:rPr>
        <w:t>):</w:t>
      </w:r>
      <w:r w:rsidRPr="00853205">
        <w:rPr>
          <w:rFonts w:ascii="Arial" w:hAnsi="Arial"/>
          <w:u w:val="single"/>
        </w:rPr>
        <w:t xml:space="preserve">  </w:t>
      </w:r>
    </w:p>
    <w:p w14:paraId="7BD79CCA" w14:textId="36CFCDBA" w:rsidR="00542DB1" w:rsidRDefault="00A02B44" w:rsidP="00542DB1">
      <w:pPr>
        <w:jc w:val="both"/>
        <w:rPr>
          <w:rFonts w:ascii="Arial" w:hAnsi="Arial"/>
        </w:rPr>
      </w:pPr>
      <w:proofErr w:type="gramStart"/>
      <w:r>
        <w:rPr>
          <w:rFonts w:ascii="Arial" w:hAnsi="Arial"/>
        </w:rPr>
        <w:t>1)</w:t>
      </w:r>
      <w:r w:rsidR="00A1234E">
        <w:rPr>
          <w:rFonts w:ascii="Arial" w:hAnsi="Arial"/>
        </w:rPr>
        <w:t xml:space="preserve"> </w:t>
      </w:r>
      <w:r w:rsidR="00542DB1">
        <w:rPr>
          <w:rFonts w:ascii="Arial" w:hAnsi="Arial"/>
        </w:rPr>
        <w:t>Select</w:t>
      </w:r>
      <w:proofErr w:type="gramEnd"/>
      <w:r w:rsidR="00542DB1">
        <w:rPr>
          <w:rFonts w:ascii="Arial" w:hAnsi="Arial"/>
        </w:rPr>
        <w:t xml:space="preserve"> the appropriate </w:t>
      </w:r>
      <w:r w:rsidR="00542DB1" w:rsidRPr="00BF7E22">
        <w:rPr>
          <w:rFonts w:ascii="Arial" w:hAnsi="Arial"/>
          <w:b/>
          <w:bCs/>
          <w:color w:val="0070C0"/>
        </w:rPr>
        <w:t xml:space="preserve">GASB </w:t>
      </w:r>
      <w:r w:rsidR="00542DB1">
        <w:rPr>
          <w:rFonts w:ascii="Arial" w:hAnsi="Arial"/>
        </w:rPr>
        <w:t>from the drop-down menu in the header section of the 431</w:t>
      </w:r>
      <w:r w:rsidR="00123153">
        <w:rPr>
          <w:rFonts w:ascii="Arial" w:hAnsi="Arial"/>
        </w:rPr>
        <w:t xml:space="preserve">F for the </w:t>
      </w:r>
      <w:r w:rsidR="006F62C6">
        <w:rPr>
          <w:rFonts w:ascii="Arial" w:hAnsi="Arial"/>
        </w:rPr>
        <w:t>individual fiduciary fund</w:t>
      </w:r>
      <w:r w:rsidR="00E223A1">
        <w:rPr>
          <w:rFonts w:ascii="Arial" w:hAnsi="Arial"/>
        </w:rPr>
        <w:t xml:space="preserve"> </w:t>
      </w:r>
      <w:r w:rsidR="00B360F8">
        <w:rPr>
          <w:rFonts w:ascii="Arial" w:hAnsi="Arial"/>
        </w:rPr>
        <w:t xml:space="preserve">with restatements.  If </w:t>
      </w:r>
      <w:r w:rsidR="00F2540D">
        <w:rPr>
          <w:rFonts w:ascii="Arial" w:hAnsi="Arial"/>
        </w:rPr>
        <w:t>there is more than one</w:t>
      </w:r>
      <w:r w:rsidR="004E39FE">
        <w:rPr>
          <w:rFonts w:ascii="Arial" w:hAnsi="Arial"/>
        </w:rPr>
        <w:t xml:space="preserve"> fiduciary fund with restatements by organization, additional 431F worksheets </w:t>
      </w:r>
      <w:r w:rsidR="00133000">
        <w:rPr>
          <w:rFonts w:ascii="Arial" w:hAnsi="Arial"/>
        </w:rPr>
        <w:t>will need to</w:t>
      </w:r>
      <w:r w:rsidR="004E39FE">
        <w:rPr>
          <w:rFonts w:ascii="Arial" w:hAnsi="Arial"/>
        </w:rPr>
        <w:t xml:space="preserve"> be created for each fiduciary fund</w:t>
      </w:r>
      <w:r w:rsidR="00527A44">
        <w:rPr>
          <w:rFonts w:ascii="Arial" w:hAnsi="Arial"/>
        </w:rPr>
        <w:t>.</w:t>
      </w:r>
    </w:p>
    <w:p w14:paraId="5C5AC970" w14:textId="77777777" w:rsidR="00542DB1" w:rsidRDefault="00542DB1" w:rsidP="008E7181">
      <w:pPr>
        <w:jc w:val="both"/>
        <w:rPr>
          <w:rFonts w:ascii="Arial" w:hAnsi="Arial"/>
        </w:rPr>
      </w:pPr>
    </w:p>
    <w:p w14:paraId="4354297F" w14:textId="273C8860" w:rsidR="008E7181" w:rsidRDefault="00A02B44" w:rsidP="008E7181">
      <w:pPr>
        <w:jc w:val="both"/>
        <w:rPr>
          <w:rFonts w:ascii="Arial" w:hAnsi="Arial"/>
        </w:rPr>
      </w:pPr>
      <w:r>
        <w:rPr>
          <w:rFonts w:ascii="Arial" w:hAnsi="Arial"/>
        </w:rPr>
        <w:t xml:space="preserve">2) </w:t>
      </w:r>
      <w:r w:rsidR="008E7181">
        <w:rPr>
          <w:rFonts w:ascii="Arial" w:hAnsi="Arial"/>
        </w:rPr>
        <w:t>Key only the 6/30/2</w:t>
      </w:r>
      <w:r>
        <w:rPr>
          <w:rFonts w:ascii="Arial" w:hAnsi="Arial"/>
        </w:rPr>
        <w:t>4</w:t>
      </w:r>
      <w:r w:rsidR="008E7181">
        <w:rPr>
          <w:rFonts w:ascii="Arial" w:hAnsi="Arial"/>
        </w:rPr>
        <w:t xml:space="preserve"> balances for statement captions impacted by the restatement as they appeared on the prior year financial statements.  Enter restatement increases as positives and decreases as negatives in the Restatements column.  Balance sheet and operating statement changes are calculated based on the caption type and sign.  For example, an increase to </w:t>
      </w:r>
      <w:proofErr w:type="gramStart"/>
      <w:r w:rsidR="008E7181">
        <w:rPr>
          <w:rFonts w:ascii="Arial" w:hAnsi="Arial"/>
        </w:rPr>
        <w:t>a liability</w:t>
      </w:r>
      <w:proofErr w:type="gramEnd"/>
      <w:r w:rsidR="008E7181">
        <w:rPr>
          <w:rFonts w:ascii="Arial" w:hAnsi="Arial"/>
        </w:rPr>
        <w:t xml:space="preserve"> should be entered as a positive amount on the worksheet but will calculate to decrease net position.</w:t>
      </w:r>
    </w:p>
    <w:p w14:paraId="0EC8C987" w14:textId="77777777" w:rsidR="008E7181" w:rsidRDefault="008E7181" w:rsidP="008E7181">
      <w:pPr>
        <w:jc w:val="both"/>
        <w:rPr>
          <w:rFonts w:ascii="Arial" w:hAnsi="Arial"/>
        </w:rPr>
      </w:pPr>
    </w:p>
    <w:p w14:paraId="47E7F218" w14:textId="4E045F98" w:rsidR="008E7181" w:rsidRDefault="00E955B1" w:rsidP="008E7181">
      <w:pPr>
        <w:jc w:val="both"/>
        <w:rPr>
          <w:rFonts w:ascii="Arial" w:hAnsi="Arial"/>
        </w:rPr>
      </w:pPr>
      <w:r>
        <w:rPr>
          <w:rFonts w:ascii="Arial" w:hAnsi="Arial"/>
        </w:rPr>
        <w:t xml:space="preserve">3) </w:t>
      </w:r>
      <w:r w:rsidR="008E7181">
        <w:rPr>
          <w:rFonts w:ascii="Arial" w:hAnsi="Arial"/>
        </w:rPr>
        <w:t xml:space="preserve">For </w:t>
      </w:r>
      <w:r w:rsidR="0023453E">
        <w:rPr>
          <w:rFonts w:ascii="Arial" w:hAnsi="Arial"/>
          <w:i/>
          <w:iCs/>
        </w:rPr>
        <w:t>B</w:t>
      </w:r>
      <w:r w:rsidR="008E7181" w:rsidRPr="0023453E">
        <w:rPr>
          <w:rFonts w:ascii="Arial" w:hAnsi="Arial"/>
          <w:i/>
          <w:iCs/>
        </w:rPr>
        <w:t xml:space="preserve">alance </w:t>
      </w:r>
      <w:r w:rsidR="0023453E">
        <w:rPr>
          <w:rFonts w:ascii="Arial" w:hAnsi="Arial"/>
          <w:i/>
          <w:iCs/>
        </w:rPr>
        <w:t>S</w:t>
      </w:r>
      <w:r w:rsidR="008E7181" w:rsidRPr="0023453E">
        <w:rPr>
          <w:rFonts w:ascii="Arial" w:hAnsi="Arial"/>
          <w:i/>
          <w:iCs/>
        </w:rPr>
        <w:t>heet</w:t>
      </w:r>
      <w:r w:rsidR="008E7181">
        <w:rPr>
          <w:rFonts w:ascii="Arial" w:hAnsi="Arial"/>
        </w:rPr>
        <w:t xml:space="preserve"> caption items that are impacted by the restatement, report the balance(s) as originally reported at 6-30-202</w:t>
      </w:r>
      <w:r w:rsidR="00A02B44">
        <w:rPr>
          <w:rFonts w:ascii="Arial" w:hAnsi="Arial"/>
        </w:rPr>
        <w:t>4</w:t>
      </w:r>
      <w:r w:rsidR="008E7181">
        <w:rPr>
          <w:rFonts w:ascii="Arial" w:hAnsi="Arial"/>
        </w:rPr>
        <w:t xml:space="preserve"> and record the changes to assets and/or liabilities </w:t>
      </w:r>
      <w:proofErr w:type="gramStart"/>
      <w:r w:rsidR="008E7181">
        <w:rPr>
          <w:rFonts w:ascii="Arial" w:hAnsi="Arial"/>
        </w:rPr>
        <w:t>as a result of</w:t>
      </w:r>
      <w:proofErr w:type="gramEnd"/>
      <w:r w:rsidR="008E7181">
        <w:rPr>
          <w:rFonts w:ascii="Arial" w:hAnsi="Arial"/>
        </w:rPr>
        <w:t xml:space="preserve"> the restatement.  In addition, record the impact of the restatement to the appropriate net position caption (</w:t>
      </w:r>
      <w:r w:rsidR="002445B3">
        <w:rPr>
          <w:rFonts w:ascii="Arial" w:hAnsi="Arial"/>
        </w:rPr>
        <w:t>select type of restriction</w:t>
      </w:r>
      <w:r w:rsidR="008E7181">
        <w:rPr>
          <w:rFonts w:ascii="Arial" w:hAnsi="Arial"/>
        </w:rPr>
        <w:t xml:space="preserve">).  </w:t>
      </w:r>
    </w:p>
    <w:p w14:paraId="283F6972" w14:textId="77777777" w:rsidR="008E7181" w:rsidRDefault="008E7181" w:rsidP="008E7181">
      <w:pPr>
        <w:jc w:val="both"/>
        <w:rPr>
          <w:rFonts w:ascii="Arial" w:hAnsi="Arial"/>
        </w:rPr>
      </w:pPr>
    </w:p>
    <w:p w14:paraId="23BD1561" w14:textId="15A077D3" w:rsidR="008E7181" w:rsidRDefault="00E955B1" w:rsidP="008E7181">
      <w:pPr>
        <w:jc w:val="both"/>
        <w:rPr>
          <w:rFonts w:ascii="Arial" w:hAnsi="Arial"/>
        </w:rPr>
      </w:pPr>
      <w:r>
        <w:rPr>
          <w:rFonts w:ascii="Arial" w:hAnsi="Arial"/>
        </w:rPr>
        <w:t xml:space="preserve">4) </w:t>
      </w:r>
      <w:r w:rsidR="008E7181">
        <w:rPr>
          <w:rFonts w:ascii="Arial" w:hAnsi="Arial"/>
        </w:rPr>
        <w:t xml:space="preserve">For </w:t>
      </w:r>
      <w:r w:rsidR="005B7EB4">
        <w:rPr>
          <w:rFonts w:ascii="Arial" w:hAnsi="Arial"/>
        </w:rPr>
        <w:t>O</w:t>
      </w:r>
      <w:r w:rsidR="005B7EB4" w:rsidRPr="0021272D">
        <w:rPr>
          <w:rFonts w:ascii="Arial" w:hAnsi="Arial"/>
          <w:i/>
          <w:iCs/>
        </w:rPr>
        <w:t xml:space="preserve">perating </w:t>
      </w:r>
      <w:r w:rsidR="005B7EB4">
        <w:rPr>
          <w:rFonts w:ascii="Arial" w:hAnsi="Arial"/>
          <w:i/>
          <w:iCs/>
        </w:rPr>
        <w:t>S</w:t>
      </w:r>
      <w:r w:rsidR="005B7EB4" w:rsidRPr="0021272D">
        <w:rPr>
          <w:rFonts w:ascii="Arial" w:hAnsi="Arial"/>
          <w:i/>
          <w:iCs/>
        </w:rPr>
        <w:t>tatement</w:t>
      </w:r>
      <w:r w:rsidR="005B7EB4">
        <w:rPr>
          <w:rFonts w:ascii="Arial" w:hAnsi="Arial"/>
          <w:i/>
          <w:iCs/>
        </w:rPr>
        <w:t xml:space="preserve"> </w:t>
      </w:r>
      <w:r w:rsidR="008E7181">
        <w:rPr>
          <w:rFonts w:ascii="Arial" w:hAnsi="Arial"/>
        </w:rPr>
        <w:t>captions</w:t>
      </w:r>
      <w:r w:rsidR="001165C7">
        <w:rPr>
          <w:rFonts w:ascii="Arial" w:hAnsi="Arial"/>
        </w:rPr>
        <w:t xml:space="preserve"> impacted by the restatement, </w:t>
      </w:r>
      <w:r w:rsidR="008E7181">
        <w:rPr>
          <w:rFonts w:ascii="Arial" w:hAnsi="Arial"/>
        </w:rPr>
        <w:t xml:space="preserve">record </w:t>
      </w:r>
      <w:r w:rsidR="003228D4">
        <w:rPr>
          <w:rFonts w:ascii="Arial" w:hAnsi="Arial"/>
        </w:rPr>
        <w:t>each restatement to the appropriate Additions or Deductions captio</w:t>
      </w:r>
      <w:r w:rsidR="00E93358">
        <w:rPr>
          <w:rFonts w:ascii="Arial" w:hAnsi="Arial"/>
        </w:rPr>
        <w:t>n, impacting the change in net position.</w:t>
      </w:r>
      <w:r w:rsidR="008E7181">
        <w:rPr>
          <w:rFonts w:ascii="Arial" w:hAnsi="Arial"/>
        </w:rPr>
        <w:t xml:space="preserve">   </w:t>
      </w:r>
    </w:p>
    <w:p w14:paraId="21FCF2FD" w14:textId="77777777" w:rsidR="007243ED" w:rsidRDefault="007243ED" w:rsidP="007243ED">
      <w:pPr>
        <w:jc w:val="both"/>
        <w:rPr>
          <w:rFonts w:ascii="Arial" w:hAnsi="Arial"/>
        </w:rPr>
      </w:pPr>
    </w:p>
    <w:p w14:paraId="6F17EF58" w14:textId="77777777" w:rsidR="00E955B1" w:rsidRDefault="00E955B1" w:rsidP="00E955B1">
      <w:pPr>
        <w:jc w:val="both"/>
        <w:rPr>
          <w:rFonts w:ascii="Arial" w:hAnsi="Arial"/>
        </w:rPr>
      </w:pPr>
      <w:r>
        <w:rPr>
          <w:rFonts w:ascii="Arial" w:hAnsi="Arial"/>
        </w:rPr>
        <w:t xml:space="preserve">5) </w:t>
      </w:r>
      <w:r w:rsidR="007243ED">
        <w:rPr>
          <w:rFonts w:ascii="Arial" w:hAnsi="Arial"/>
        </w:rPr>
        <w:t xml:space="preserve">For each caption being restated, a </w:t>
      </w:r>
      <w:r w:rsidR="007243ED" w:rsidRPr="00B15E6C">
        <w:rPr>
          <w:rFonts w:ascii="Arial" w:hAnsi="Arial"/>
          <w:b/>
          <w:bCs/>
          <w:color w:val="0070C0"/>
        </w:rPr>
        <w:t>“Reason</w:t>
      </w:r>
      <w:r w:rsidR="007243ED">
        <w:rPr>
          <w:rFonts w:ascii="Arial" w:hAnsi="Arial"/>
        </w:rPr>
        <w:t xml:space="preserve">” should be selected from the drop-down menu to the right of the caption.  </w:t>
      </w:r>
      <w:r>
        <w:rPr>
          <w:rFonts w:ascii="Arial" w:hAnsi="Arial"/>
        </w:rPr>
        <w:t xml:space="preserve">Restatements related to Changes in Accounting Principles will begin with </w:t>
      </w:r>
      <w:r w:rsidRPr="00A8774E">
        <w:rPr>
          <w:rFonts w:ascii="Arial" w:hAnsi="Arial"/>
          <w:b/>
          <w:bCs/>
        </w:rPr>
        <w:t>“O”</w:t>
      </w:r>
      <w:r>
        <w:rPr>
          <w:rFonts w:ascii="Arial" w:hAnsi="Arial"/>
        </w:rPr>
        <w:t xml:space="preserve"> and restatements related to Error Corrections will begin with </w:t>
      </w:r>
      <w:r w:rsidRPr="00A8774E">
        <w:rPr>
          <w:rFonts w:ascii="Arial" w:hAnsi="Arial"/>
          <w:b/>
          <w:bCs/>
        </w:rPr>
        <w:t>“ER.”</w:t>
      </w:r>
    </w:p>
    <w:p w14:paraId="58C475FD" w14:textId="77777777" w:rsidR="00385599" w:rsidRDefault="00385599" w:rsidP="008E7181">
      <w:pPr>
        <w:jc w:val="both"/>
        <w:rPr>
          <w:rFonts w:ascii="Arial" w:hAnsi="Arial"/>
        </w:rPr>
      </w:pPr>
    </w:p>
    <w:p w14:paraId="54DCA545" w14:textId="0ABC1C1F" w:rsidR="008E7181" w:rsidRPr="00F12997" w:rsidRDefault="00E955B1" w:rsidP="008E7181">
      <w:pPr>
        <w:jc w:val="both"/>
        <w:rPr>
          <w:rFonts w:ascii="Arial" w:hAnsi="Arial"/>
        </w:rPr>
      </w:pPr>
      <w:r>
        <w:rPr>
          <w:rFonts w:ascii="Arial" w:hAnsi="Arial"/>
        </w:rPr>
        <w:t xml:space="preserve">6) </w:t>
      </w:r>
      <w:r w:rsidR="008E7181">
        <w:rPr>
          <w:rFonts w:ascii="Arial" w:hAnsi="Arial"/>
        </w:rPr>
        <w:t>In the Restatements column the</w:t>
      </w:r>
      <w:r w:rsidR="00D914CC">
        <w:rPr>
          <w:rFonts w:ascii="Arial" w:hAnsi="Arial"/>
        </w:rPr>
        <w:t xml:space="preserve"> total</w:t>
      </w:r>
      <w:r w:rsidR="008E7181">
        <w:rPr>
          <w:rFonts w:ascii="Arial" w:hAnsi="Arial"/>
        </w:rPr>
        <w:t xml:space="preserve"> </w:t>
      </w:r>
      <w:r w:rsidR="008E7181" w:rsidRPr="00C147C2">
        <w:rPr>
          <w:rFonts w:ascii="Arial" w:hAnsi="Arial"/>
          <w:i/>
        </w:rPr>
        <w:t>Balance Sheet</w:t>
      </w:r>
      <w:r w:rsidR="00D914CC">
        <w:rPr>
          <w:rFonts w:ascii="Arial" w:hAnsi="Arial"/>
          <w:i/>
        </w:rPr>
        <w:t xml:space="preserve"> Change</w:t>
      </w:r>
      <w:r w:rsidR="008E7181">
        <w:rPr>
          <w:rFonts w:ascii="Arial" w:hAnsi="Arial"/>
        </w:rPr>
        <w:t xml:space="preserve"> line must agree with the</w:t>
      </w:r>
      <w:r w:rsidR="005A1C3B">
        <w:rPr>
          <w:rFonts w:ascii="Arial" w:hAnsi="Arial"/>
        </w:rPr>
        <w:t xml:space="preserve"> total</w:t>
      </w:r>
      <w:r w:rsidR="008E7181">
        <w:rPr>
          <w:rFonts w:ascii="Arial" w:hAnsi="Arial"/>
        </w:rPr>
        <w:t xml:space="preserve"> </w:t>
      </w:r>
      <w:r w:rsidR="008E7181" w:rsidRPr="00C147C2">
        <w:rPr>
          <w:rFonts w:ascii="Arial" w:hAnsi="Arial"/>
          <w:i/>
        </w:rPr>
        <w:t>Operating Statement</w:t>
      </w:r>
      <w:r w:rsidR="005A1C3B">
        <w:rPr>
          <w:rFonts w:ascii="Arial" w:hAnsi="Arial"/>
          <w:i/>
        </w:rPr>
        <w:t xml:space="preserve"> Change</w:t>
      </w:r>
      <w:r w:rsidR="008E7181">
        <w:rPr>
          <w:rFonts w:ascii="Arial" w:hAnsi="Arial"/>
        </w:rPr>
        <w:t xml:space="preserve"> line.  The</w:t>
      </w:r>
      <w:r w:rsidR="00C16EB2">
        <w:rPr>
          <w:rFonts w:ascii="Arial" w:hAnsi="Arial"/>
        </w:rPr>
        <w:t xml:space="preserve"> total</w:t>
      </w:r>
      <w:r w:rsidR="008E7181">
        <w:rPr>
          <w:rFonts w:ascii="Arial" w:hAnsi="Arial"/>
        </w:rPr>
        <w:t xml:space="preserve"> </w:t>
      </w:r>
      <w:r w:rsidR="008E7181" w:rsidRPr="00C147C2">
        <w:rPr>
          <w:rFonts w:ascii="Arial" w:hAnsi="Arial"/>
          <w:i/>
        </w:rPr>
        <w:t>Balance Sheet</w:t>
      </w:r>
      <w:r w:rsidR="00C16EB2">
        <w:rPr>
          <w:rFonts w:ascii="Arial" w:hAnsi="Arial"/>
          <w:i/>
        </w:rPr>
        <w:t xml:space="preserve"> Change</w:t>
      </w:r>
      <w:r w:rsidR="008E7181">
        <w:rPr>
          <w:rFonts w:ascii="Arial" w:hAnsi="Arial"/>
        </w:rPr>
        <w:t xml:space="preserve"> and the</w:t>
      </w:r>
      <w:r w:rsidR="00C16EB2">
        <w:rPr>
          <w:rFonts w:ascii="Arial" w:hAnsi="Arial"/>
        </w:rPr>
        <w:t xml:space="preserve"> total</w:t>
      </w:r>
      <w:r w:rsidR="008E7181">
        <w:rPr>
          <w:rFonts w:ascii="Arial" w:hAnsi="Arial"/>
        </w:rPr>
        <w:t xml:space="preserve"> </w:t>
      </w:r>
      <w:r w:rsidR="008E7181" w:rsidRPr="00C147C2">
        <w:rPr>
          <w:rFonts w:ascii="Arial" w:hAnsi="Arial"/>
          <w:i/>
        </w:rPr>
        <w:t>Operating Statement</w:t>
      </w:r>
      <w:r w:rsidR="00C16EB2">
        <w:rPr>
          <w:rFonts w:ascii="Arial" w:hAnsi="Arial"/>
          <w:i/>
        </w:rPr>
        <w:t xml:space="preserve"> Change</w:t>
      </w:r>
      <w:r w:rsidR="008E7181">
        <w:rPr>
          <w:rFonts w:ascii="Arial" w:hAnsi="Arial"/>
        </w:rPr>
        <w:t xml:space="preserve"> in the </w:t>
      </w:r>
      <w:r w:rsidR="008E7181" w:rsidRPr="00FE4780">
        <w:rPr>
          <w:rFonts w:ascii="Arial" w:hAnsi="Arial"/>
        </w:rPr>
        <w:t xml:space="preserve">Restatements </w:t>
      </w:r>
      <w:r w:rsidR="008E7181">
        <w:rPr>
          <w:rFonts w:ascii="Arial" w:hAnsi="Arial"/>
        </w:rPr>
        <w:t>c</w:t>
      </w:r>
      <w:r w:rsidR="008E7181" w:rsidRPr="00FE4780">
        <w:rPr>
          <w:rFonts w:ascii="Arial" w:hAnsi="Arial"/>
        </w:rPr>
        <w:t>olumn</w:t>
      </w:r>
      <w:r w:rsidR="008E7181">
        <w:rPr>
          <w:rFonts w:ascii="Arial" w:hAnsi="Arial"/>
        </w:rPr>
        <w:t xml:space="preserve"> </w:t>
      </w:r>
      <w:r w:rsidR="008E7181" w:rsidRPr="00FE4780">
        <w:rPr>
          <w:rFonts w:ascii="Arial" w:hAnsi="Arial"/>
          <w:b/>
        </w:rPr>
        <w:t>must</w:t>
      </w:r>
      <w:r w:rsidR="008E7181">
        <w:rPr>
          <w:rFonts w:ascii="Arial" w:hAnsi="Arial"/>
        </w:rPr>
        <w:t xml:space="preserve"> equal the amount reported on the restatement caption of the </w:t>
      </w:r>
      <w:r w:rsidR="003C2F0C">
        <w:rPr>
          <w:rFonts w:ascii="Arial" w:hAnsi="Arial"/>
        </w:rPr>
        <w:t>fiduciary statement</w:t>
      </w:r>
      <w:r w:rsidR="006B259D">
        <w:rPr>
          <w:rFonts w:ascii="Arial" w:hAnsi="Arial"/>
        </w:rPr>
        <w:t xml:space="preserve"> of changes in fiduciary net position</w:t>
      </w:r>
      <w:r w:rsidR="003C2F0C">
        <w:rPr>
          <w:rFonts w:ascii="Arial" w:hAnsi="Arial"/>
        </w:rPr>
        <w:t xml:space="preserve"> (NC ACFR 54F</w:t>
      </w:r>
      <w:r w:rsidR="007F4845">
        <w:rPr>
          <w:rFonts w:ascii="Arial" w:hAnsi="Arial"/>
        </w:rPr>
        <w:t xml:space="preserve"> for </w:t>
      </w:r>
      <w:r w:rsidR="00E60B75">
        <w:rPr>
          <w:rFonts w:ascii="Arial" w:hAnsi="Arial"/>
        </w:rPr>
        <w:t>fiduciary funds online in NCFS</w:t>
      </w:r>
      <w:r w:rsidR="003C2F0C">
        <w:rPr>
          <w:rFonts w:ascii="Arial" w:hAnsi="Arial"/>
        </w:rPr>
        <w:t>)</w:t>
      </w:r>
      <w:r w:rsidR="00CC0BCE">
        <w:rPr>
          <w:rFonts w:ascii="Arial" w:hAnsi="Arial"/>
        </w:rPr>
        <w:t xml:space="preserve"> and the Total Restatement amount reported on the 430F</w:t>
      </w:r>
      <w:r w:rsidR="00A1234E">
        <w:rPr>
          <w:rFonts w:ascii="Arial" w:hAnsi="Arial"/>
        </w:rPr>
        <w:t xml:space="preserve"> worksheet</w:t>
      </w:r>
      <w:r w:rsidR="006B259D">
        <w:rPr>
          <w:rFonts w:ascii="Arial" w:hAnsi="Arial"/>
        </w:rPr>
        <w:t>.</w:t>
      </w:r>
      <w:r w:rsidR="008E7181" w:rsidRPr="00F12997">
        <w:rPr>
          <w:rFonts w:ascii="Arial" w:hAnsi="Arial"/>
        </w:rPr>
        <w:t xml:space="preserve">  </w:t>
      </w:r>
    </w:p>
    <w:p w14:paraId="1C412B44" w14:textId="77777777" w:rsidR="00125199" w:rsidRDefault="00125199">
      <w:pPr>
        <w:rPr>
          <w:rFonts w:ascii="Arial" w:hAnsi="Arial"/>
          <w:b/>
          <w:smallCaps/>
          <w:sz w:val="24"/>
          <w:u w:val="single"/>
        </w:rPr>
      </w:pPr>
    </w:p>
    <w:p w14:paraId="6443B8EA" w14:textId="2A3C603A" w:rsidR="004E46A3" w:rsidRPr="009C64CC" w:rsidRDefault="000F3810">
      <w:pPr>
        <w:rPr>
          <w:rFonts w:ascii="Arial" w:hAnsi="Arial"/>
          <w:b/>
          <w:smallCaps/>
          <w:sz w:val="24"/>
          <w:u w:val="single"/>
        </w:rPr>
      </w:pPr>
      <w:r w:rsidRPr="009C64CC">
        <w:rPr>
          <w:rFonts w:ascii="Arial" w:hAnsi="Arial"/>
          <w:b/>
          <w:smallCaps/>
          <w:sz w:val="24"/>
          <w:u w:val="single"/>
        </w:rPr>
        <w:t>Worksheets 50</w:t>
      </w:r>
      <w:r w:rsidR="00E62A9F">
        <w:rPr>
          <w:rFonts w:ascii="Arial" w:hAnsi="Arial"/>
          <w:b/>
          <w:smallCaps/>
          <w:sz w:val="24"/>
          <w:u w:val="single"/>
        </w:rPr>
        <w:t>2</w:t>
      </w:r>
      <w:r w:rsidRPr="009C64CC">
        <w:rPr>
          <w:rFonts w:ascii="Arial" w:hAnsi="Arial"/>
          <w:b/>
          <w:smallCaps/>
          <w:sz w:val="24"/>
          <w:u w:val="single"/>
        </w:rPr>
        <w:t>-565</w:t>
      </w:r>
    </w:p>
    <w:p w14:paraId="1519D3DC" w14:textId="77777777" w:rsidR="004E46A3" w:rsidRDefault="004E46A3">
      <w:pPr>
        <w:rPr>
          <w:rFonts w:ascii="Arial" w:hAnsi="Arial"/>
        </w:rPr>
      </w:pPr>
    </w:p>
    <w:p w14:paraId="1AE15326" w14:textId="77777777" w:rsidR="00857646" w:rsidRDefault="00857646">
      <w:pPr>
        <w:rPr>
          <w:rFonts w:ascii="Arial" w:hAnsi="Arial"/>
          <w:b/>
          <w:u w:val="single"/>
        </w:rPr>
      </w:pPr>
      <w:r>
        <w:rPr>
          <w:rFonts w:ascii="Arial" w:hAnsi="Arial"/>
          <w:b/>
          <w:u w:val="single"/>
        </w:rPr>
        <w:t>Agency Contact Information</w:t>
      </w:r>
    </w:p>
    <w:p w14:paraId="513FA36F" w14:textId="77777777" w:rsidR="00857646" w:rsidRDefault="00857646">
      <w:pPr>
        <w:rPr>
          <w:rFonts w:ascii="Arial" w:hAnsi="Arial"/>
          <w:b/>
          <w:u w:val="single"/>
        </w:rPr>
      </w:pPr>
    </w:p>
    <w:p w14:paraId="116DAFDF" w14:textId="7430EBB3" w:rsidR="00857646" w:rsidRPr="00857646" w:rsidRDefault="00857646">
      <w:pPr>
        <w:rPr>
          <w:rFonts w:ascii="Arial" w:hAnsi="Arial"/>
        </w:rPr>
      </w:pPr>
      <w:r>
        <w:rPr>
          <w:rFonts w:ascii="Arial" w:hAnsi="Arial"/>
        </w:rPr>
        <w:t xml:space="preserve">Refer to the ‘All Agencies’ tab in the </w:t>
      </w:r>
      <w:r w:rsidR="000C7E6E">
        <w:rPr>
          <w:rFonts w:ascii="Arial" w:hAnsi="Arial"/>
        </w:rPr>
        <w:t>A</w:t>
      </w:r>
      <w:r w:rsidR="00015880">
        <w:rPr>
          <w:rFonts w:ascii="Arial" w:hAnsi="Arial"/>
        </w:rPr>
        <w:t>CFR</w:t>
      </w:r>
      <w:r>
        <w:rPr>
          <w:rFonts w:ascii="Arial" w:hAnsi="Arial"/>
        </w:rPr>
        <w:t xml:space="preserve"> </w:t>
      </w:r>
      <w:r w:rsidR="007E571F">
        <w:rPr>
          <w:rFonts w:ascii="Arial" w:hAnsi="Arial"/>
        </w:rPr>
        <w:t xml:space="preserve">package </w:t>
      </w:r>
      <w:r>
        <w:rPr>
          <w:rFonts w:ascii="Arial" w:hAnsi="Arial"/>
        </w:rPr>
        <w:t>workbook to obtain contact information for confirming inter</w:t>
      </w:r>
      <w:r w:rsidR="00B7798A">
        <w:rPr>
          <w:rFonts w:ascii="Arial" w:hAnsi="Arial"/>
        </w:rPr>
        <w:t>-</w:t>
      </w:r>
      <w:r>
        <w:rPr>
          <w:rFonts w:ascii="Arial" w:hAnsi="Arial"/>
        </w:rPr>
        <w:t>agency receivables and payables.</w:t>
      </w:r>
      <w:r w:rsidR="006217C8">
        <w:rPr>
          <w:rFonts w:ascii="Arial" w:hAnsi="Arial"/>
        </w:rPr>
        <w:t xml:space="preserve"> </w:t>
      </w:r>
    </w:p>
    <w:p w14:paraId="3AFA40CA" w14:textId="52EDC613" w:rsidR="00E71A54" w:rsidRDefault="00E71A54">
      <w:pPr>
        <w:rPr>
          <w:rFonts w:ascii="Arial" w:hAnsi="Arial"/>
        </w:rPr>
      </w:pPr>
    </w:p>
    <w:p w14:paraId="0C7807AA" w14:textId="77777777" w:rsidR="004E46A3" w:rsidRDefault="00EC3476">
      <w:pPr>
        <w:rPr>
          <w:rFonts w:ascii="Arial" w:hAnsi="Arial"/>
          <w:b/>
          <w:u w:val="single"/>
        </w:rPr>
      </w:pPr>
      <w:r>
        <w:rPr>
          <w:rFonts w:ascii="Arial" w:hAnsi="Arial"/>
          <w:b/>
          <w:u w:val="single"/>
        </w:rPr>
        <w:t>C</w:t>
      </w:r>
      <w:r w:rsidR="000F3810">
        <w:rPr>
          <w:rFonts w:ascii="Arial" w:hAnsi="Arial"/>
          <w:b/>
          <w:u w:val="single"/>
        </w:rPr>
        <w:t>omponent Units</w:t>
      </w:r>
    </w:p>
    <w:p w14:paraId="366CEAB7" w14:textId="65D1DD1F" w:rsidR="781459E6" w:rsidRDefault="781459E6" w:rsidP="781459E6">
      <w:pPr>
        <w:rPr>
          <w:rFonts w:ascii="Arial" w:hAnsi="Arial"/>
        </w:rPr>
      </w:pPr>
    </w:p>
    <w:p w14:paraId="73CAC27F" w14:textId="68059512" w:rsidR="004E46A3" w:rsidRDefault="004E46A3" w:rsidP="007F6D06">
      <w:pPr>
        <w:rPr>
          <w:rFonts w:ascii="Arial" w:hAnsi="Arial"/>
        </w:rPr>
      </w:pPr>
      <w:r>
        <w:rPr>
          <w:rFonts w:ascii="Arial" w:hAnsi="Arial"/>
        </w:rPr>
        <w:t xml:space="preserve">The following agencies are considered component units of the </w:t>
      </w:r>
      <w:r w:rsidR="00163A27">
        <w:rPr>
          <w:rFonts w:ascii="Arial" w:hAnsi="Arial"/>
        </w:rPr>
        <w:t>State of North Carolina</w:t>
      </w:r>
      <w:r w:rsidR="0021073B" w:rsidRPr="781459E6">
        <w:rPr>
          <w:rFonts w:ascii="Arial" w:hAnsi="Arial"/>
        </w:rPr>
        <w:t>.</w:t>
      </w:r>
      <w:r w:rsidR="0021073B">
        <w:rPr>
          <w:rFonts w:ascii="Arial" w:hAnsi="Arial"/>
        </w:rPr>
        <w:t xml:space="preserve">  Also</w:t>
      </w:r>
      <w:r w:rsidR="7D8BD646" w:rsidRPr="781459E6">
        <w:rPr>
          <w:rFonts w:ascii="Arial" w:hAnsi="Arial"/>
        </w:rPr>
        <w:t>,</w:t>
      </w:r>
      <w:r w:rsidR="0021073B">
        <w:rPr>
          <w:rFonts w:ascii="Arial" w:hAnsi="Arial"/>
        </w:rPr>
        <w:t xml:space="preserve"> refer to the Agencies list in the </w:t>
      </w:r>
      <w:r w:rsidR="000C7E6E">
        <w:rPr>
          <w:rFonts w:ascii="Arial" w:hAnsi="Arial"/>
        </w:rPr>
        <w:t>A</w:t>
      </w:r>
      <w:r w:rsidR="00015880">
        <w:rPr>
          <w:rFonts w:ascii="Arial" w:hAnsi="Arial"/>
        </w:rPr>
        <w:t>CFR</w:t>
      </w:r>
      <w:r w:rsidR="0021073B">
        <w:rPr>
          <w:rFonts w:ascii="Arial" w:hAnsi="Arial"/>
        </w:rPr>
        <w:t xml:space="preserve"> Excel workbook for names of colleges and universities</w:t>
      </w:r>
      <w:r w:rsidR="002E2BE3">
        <w:rPr>
          <w:rFonts w:ascii="Arial" w:hAnsi="Arial"/>
        </w:rPr>
        <w:t xml:space="preserve"> and the comprehensive list all agencies in the State of North Carolina reporting entity.</w:t>
      </w:r>
      <w:r w:rsidR="0021073B">
        <w:rPr>
          <w:rFonts w:ascii="Arial" w:hAnsi="Arial"/>
        </w:rPr>
        <w:t xml:space="preserve"> </w:t>
      </w:r>
    </w:p>
    <w:p w14:paraId="2A82EC55" w14:textId="71C6E3EE" w:rsidR="004E46A3" w:rsidRDefault="004E46A3">
      <w:pPr>
        <w:rPr>
          <w:rFonts w:ascii="Arial" w:hAnsi="Arial"/>
        </w:rPr>
      </w:pPr>
    </w:p>
    <w:p w14:paraId="0E762B15" w14:textId="77777777" w:rsidR="004E46A3" w:rsidRDefault="004E46A3">
      <w:pPr>
        <w:rPr>
          <w:rFonts w:ascii="Arial" w:hAnsi="Arial"/>
        </w:rPr>
      </w:pPr>
      <w:r>
        <w:rPr>
          <w:rFonts w:ascii="Arial" w:hAnsi="Arial"/>
          <w:u w:val="single"/>
        </w:rPr>
        <w:t>Agency</w:t>
      </w:r>
      <w:r>
        <w:rPr>
          <w:rFonts w:ascii="Arial" w:hAnsi="Arial"/>
        </w:rPr>
        <w:tab/>
      </w:r>
      <w:r>
        <w:rPr>
          <w:rFonts w:ascii="Arial" w:hAnsi="Arial"/>
        </w:rPr>
        <w:tab/>
      </w:r>
      <w:r>
        <w:rPr>
          <w:rFonts w:ascii="Arial" w:hAnsi="Arial"/>
          <w:u w:val="single"/>
        </w:rPr>
        <w:t>GASB</w:t>
      </w:r>
      <w:r>
        <w:rPr>
          <w:rFonts w:ascii="Arial" w:hAnsi="Arial"/>
        </w:rPr>
        <w:tab/>
      </w:r>
      <w:r>
        <w:rPr>
          <w:rFonts w:ascii="Arial" w:hAnsi="Arial"/>
          <w:u w:val="single"/>
        </w:rPr>
        <w:t>Name</w:t>
      </w:r>
    </w:p>
    <w:p w14:paraId="665F806B" w14:textId="77777777" w:rsidR="004E46A3" w:rsidRDefault="004E46A3">
      <w:pPr>
        <w:rPr>
          <w:rFonts w:ascii="Arial" w:hAnsi="Arial"/>
        </w:rPr>
      </w:pPr>
      <w:r>
        <w:rPr>
          <w:rFonts w:ascii="Arial" w:hAnsi="Arial"/>
        </w:rPr>
        <w:t>0A</w:t>
      </w:r>
      <w:r>
        <w:rPr>
          <w:rFonts w:ascii="Arial" w:hAnsi="Arial"/>
        </w:rPr>
        <w:tab/>
      </w:r>
      <w:r>
        <w:rPr>
          <w:rFonts w:ascii="Arial" w:hAnsi="Arial"/>
        </w:rPr>
        <w:tab/>
        <w:t>2611</w:t>
      </w:r>
      <w:r>
        <w:rPr>
          <w:rFonts w:ascii="Arial" w:hAnsi="Arial"/>
        </w:rPr>
        <w:tab/>
        <w:t>N.C. Housing Finance Agency</w:t>
      </w:r>
    </w:p>
    <w:p w14:paraId="78CE871F" w14:textId="77777777" w:rsidR="00A7604D" w:rsidRDefault="00A7604D" w:rsidP="00A7604D">
      <w:pPr>
        <w:rPr>
          <w:rFonts w:ascii="Arial" w:hAnsi="Arial"/>
          <w:highlight w:val="yellow"/>
        </w:rPr>
      </w:pPr>
      <w:r w:rsidRPr="1974B432">
        <w:rPr>
          <w:rFonts w:ascii="Arial" w:hAnsi="Arial"/>
          <w:highlight w:val="yellow"/>
        </w:rPr>
        <w:t>07</w:t>
      </w:r>
      <w:r>
        <w:tab/>
      </w:r>
      <w:r>
        <w:tab/>
      </w:r>
      <w:r w:rsidRPr="1974B432">
        <w:rPr>
          <w:rFonts w:ascii="Arial" w:hAnsi="Arial"/>
          <w:highlight w:val="yellow"/>
        </w:rPr>
        <w:t>2629</w:t>
      </w:r>
      <w:r>
        <w:tab/>
      </w:r>
      <w:r w:rsidRPr="1974B432">
        <w:rPr>
          <w:rFonts w:ascii="Arial" w:hAnsi="Arial"/>
          <w:highlight w:val="yellow"/>
        </w:rPr>
        <w:t>Div. of State Health Plan, Dept of State Treasurer</w:t>
      </w:r>
      <w:r>
        <w:rPr>
          <w:rFonts w:ascii="Arial" w:hAnsi="Arial"/>
        </w:rPr>
        <w:t xml:space="preserve"> </w:t>
      </w:r>
    </w:p>
    <w:p w14:paraId="2622B2F0" w14:textId="77777777" w:rsidR="00A7604D" w:rsidRDefault="00A7604D" w:rsidP="00A7604D">
      <w:pPr>
        <w:rPr>
          <w:rFonts w:ascii="Arial" w:hAnsi="Arial"/>
          <w:highlight w:val="yellow"/>
        </w:rPr>
      </w:pPr>
      <w:r w:rsidRPr="1974B432">
        <w:rPr>
          <w:rFonts w:ascii="Arial" w:hAnsi="Arial"/>
          <w:highlight w:val="yellow"/>
        </w:rPr>
        <w:t>48</w:t>
      </w:r>
      <w:r>
        <w:tab/>
      </w:r>
      <w:r>
        <w:tab/>
      </w:r>
      <w:r w:rsidRPr="1974B432">
        <w:rPr>
          <w:rFonts w:ascii="Arial" w:hAnsi="Arial"/>
          <w:highlight w:val="yellow"/>
        </w:rPr>
        <w:t>263X</w:t>
      </w:r>
      <w:r>
        <w:tab/>
      </w:r>
      <w:r w:rsidRPr="1974B432">
        <w:rPr>
          <w:rFonts w:ascii="Arial" w:hAnsi="Arial"/>
          <w:highlight w:val="yellow"/>
        </w:rPr>
        <w:t>UNC Hospitals (part of UNC System – see Agencies list)</w:t>
      </w:r>
    </w:p>
    <w:p w14:paraId="1C3772A3" w14:textId="77777777" w:rsidR="00A7604D" w:rsidRDefault="00A7604D" w:rsidP="00A7604D">
      <w:pPr>
        <w:rPr>
          <w:rFonts w:ascii="Arial" w:hAnsi="Arial"/>
          <w:highlight w:val="yellow"/>
        </w:rPr>
      </w:pPr>
      <w:r w:rsidRPr="1974B432">
        <w:rPr>
          <w:rFonts w:ascii="Arial" w:hAnsi="Arial"/>
          <w:highlight w:val="yellow"/>
        </w:rPr>
        <w:t>48L</w:t>
      </w:r>
      <w:r>
        <w:tab/>
      </w:r>
      <w:r>
        <w:tab/>
      </w:r>
      <w:r w:rsidRPr="1974B432">
        <w:rPr>
          <w:rFonts w:ascii="Arial" w:hAnsi="Arial"/>
          <w:highlight w:val="yellow"/>
        </w:rPr>
        <w:t>2632</w:t>
      </w:r>
      <w:r>
        <w:tab/>
      </w:r>
      <w:r w:rsidRPr="1974B432">
        <w:rPr>
          <w:rFonts w:ascii="Arial" w:hAnsi="Arial"/>
          <w:highlight w:val="yellow"/>
        </w:rPr>
        <w:t>UNC Hospitals LITF (part of UNC System – see Agencies list)</w:t>
      </w:r>
    </w:p>
    <w:p w14:paraId="16359BB4" w14:textId="77777777" w:rsidR="00A7604D" w:rsidRDefault="00A7604D" w:rsidP="00A7604D">
      <w:pPr>
        <w:rPr>
          <w:rFonts w:ascii="Arial" w:hAnsi="Arial"/>
          <w:highlight w:val="yellow"/>
        </w:rPr>
      </w:pPr>
      <w:r w:rsidRPr="1974B432">
        <w:rPr>
          <w:rFonts w:ascii="Arial" w:hAnsi="Arial"/>
          <w:highlight w:val="yellow"/>
        </w:rPr>
        <w:t>48E</w:t>
      </w:r>
      <w:r>
        <w:tab/>
      </w:r>
      <w:r>
        <w:tab/>
      </w:r>
      <w:r w:rsidRPr="1974B432">
        <w:rPr>
          <w:rFonts w:ascii="Arial" w:hAnsi="Arial"/>
          <w:highlight w:val="yellow"/>
        </w:rPr>
        <w:t>2635</w:t>
      </w:r>
      <w:r>
        <w:tab/>
      </w:r>
      <w:r w:rsidRPr="1974B432">
        <w:rPr>
          <w:rFonts w:ascii="Arial" w:hAnsi="Arial"/>
          <w:highlight w:val="yellow"/>
        </w:rPr>
        <w:t>UNC Hospitals Enterprise Fund (part of UNC System – see Agencies list)</w:t>
      </w:r>
    </w:p>
    <w:p w14:paraId="21A2FC9E" w14:textId="77777777" w:rsidR="00A7604D" w:rsidRDefault="00A7604D" w:rsidP="00A7604D">
      <w:pPr>
        <w:rPr>
          <w:rFonts w:ascii="Arial" w:hAnsi="Arial"/>
          <w:highlight w:val="yellow"/>
        </w:rPr>
      </w:pPr>
      <w:r w:rsidRPr="1974B432">
        <w:rPr>
          <w:rFonts w:ascii="Arial" w:hAnsi="Arial"/>
          <w:highlight w:val="yellow"/>
        </w:rPr>
        <w:t>48R</w:t>
      </w:r>
      <w:r>
        <w:tab/>
      </w:r>
      <w:r>
        <w:tab/>
      </w:r>
      <w:r w:rsidRPr="1974B432">
        <w:rPr>
          <w:rFonts w:ascii="Arial" w:hAnsi="Arial"/>
          <w:highlight w:val="yellow"/>
        </w:rPr>
        <w:t>2637</w:t>
      </w:r>
      <w:r>
        <w:tab/>
      </w:r>
      <w:r w:rsidRPr="1974B432">
        <w:rPr>
          <w:rFonts w:ascii="Arial" w:hAnsi="Arial"/>
          <w:highlight w:val="yellow"/>
        </w:rPr>
        <w:t>Rex Healthcare (part of UNC System – see Agencies list)</w:t>
      </w:r>
    </w:p>
    <w:p w14:paraId="04C20408" w14:textId="77777777" w:rsidR="00A7604D" w:rsidRDefault="00A7604D" w:rsidP="00A7604D">
      <w:pPr>
        <w:rPr>
          <w:rFonts w:ascii="Arial" w:hAnsi="Arial"/>
          <w:highlight w:val="yellow"/>
        </w:rPr>
      </w:pPr>
      <w:r w:rsidRPr="1974B432">
        <w:rPr>
          <w:rFonts w:ascii="Arial" w:hAnsi="Arial"/>
          <w:highlight w:val="yellow"/>
        </w:rPr>
        <w:t>48C</w:t>
      </w:r>
      <w:r>
        <w:tab/>
      </w:r>
      <w:r>
        <w:tab/>
      </w:r>
      <w:r w:rsidRPr="1974B432">
        <w:rPr>
          <w:rFonts w:ascii="Arial" w:hAnsi="Arial"/>
          <w:highlight w:val="yellow"/>
        </w:rPr>
        <w:t>2638</w:t>
      </w:r>
      <w:r>
        <w:tab/>
      </w:r>
      <w:r w:rsidRPr="1974B432">
        <w:rPr>
          <w:rFonts w:ascii="Arial" w:hAnsi="Arial"/>
          <w:highlight w:val="yellow"/>
        </w:rPr>
        <w:t>Chatham Hospital (part of UNC System – see Agencies list)</w:t>
      </w:r>
    </w:p>
    <w:p w14:paraId="22215716" w14:textId="77777777" w:rsidR="00A7604D" w:rsidRDefault="00A7604D" w:rsidP="00A7604D">
      <w:pPr>
        <w:rPr>
          <w:rFonts w:ascii="Arial" w:hAnsi="Arial"/>
          <w:highlight w:val="yellow"/>
        </w:rPr>
      </w:pPr>
      <w:r w:rsidRPr="1974B432">
        <w:rPr>
          <w:rFonts w:ascii="Arial" w:hAnsi="Arial"/>
          <w:highlight w:val="yellow"/>
        </w:rPr>
        <w:t>48T</w:t>
      </w:r>
      <w:r>
        <w:tab/>
      </w:r>
      <w:r>
        <w:tab/>
      </w:r>
      <w:r w:rsidRPr="1974B432">
        <w:rPr>
          <w:rFonts w:ascii="Arial" w:hAnsi="Arial"/>
          <w:highlight w:val="yellow"/>
        </w:rPr>
        <w:t>2639</w:t>
      </w:r>
      <w:r>
        <w:tab/>
      </w:r>
      <w:r w:rsidRPr="1974B432">
        <w:rPr>
          <w:rFonts w:ascii="Arial" w:hAnsi="Arial"/>
          <w:highlight w:val="yellow"/>
        </w:rPr>
        <w:t>UNC Physicians Network (part of UNC System – see Agencies list)</w:t>
      </w:r>
    </w:p>
    <w:p w14:paraId="7416B8F6" w14:textId="77777777" w:rsidR="00A7604D" w:rsidRDefault="00A7604D" w:rsidP="00A7604D">
      <w:pPr>
        <w:rPr>
          <w:rFonts w:ascii="Arial" w:hAnsi="Arial"/>
          <w:highlight w:val="yellow"/>
        </w:rPr>
      </w:pPr>
      <w:r w:rsidRPr="1974B432">
        <w:rPr>
          <w:rFonts w:ascii="Arial" w:hAnsi="Arial"/>
          <w:highlight w:val="yellow"/>
        </w:rPr>
        <w:t>48</w:t>
      </w:r>
      <w:r w:rsidR="00562193" w:rsidRPr="1974B432">
        <w:rPr>
          <w:rFonts w:ascii="Arial" w:hAnsi="Arial"/>
          <w:highlight w:val="yellow"/>
        </w:rPr>
        <w:t>RH</w:t>
      </w:r>
      <w:r>
        <w:tab/>
      </w:r>
      <w:r>
        <w:tab/>
      </w:r>
      <w:r w:rsidRPr="1974B432">
        <w:rPr>
          <w:rFonts w:ascii="Arial" w:hAnsi="Arial"/>
          <w:highlight w:val="yellow"/>
        </w:rPr>
        <w:t>263X</w:t>
      </w:r>
      <w:r>
        <w:tab/>
      </w:r>
      <w:r w:rsidR="00562193" w:rsidRPr="1974B432">
        <w:rPr>
          <w:rFonts w:ascii="Arial" w:hAnsi="Arial"/>
          <w:highlight w:val="yellow"/>
        </w:rPr>
        <w:t>Rockingham Health Care</w:t>
      </w:r>
      <w:r w:rsidRPr="1974B432">
        <w:rPr>
          <w:rFonts w:ascii="Arial" w:hAnsi="Arial"/>
          <w:highlight w:val="yellow"/>
        </w:rPr>
        <w:t xml:space="preserve"> (part of UNC System – see Agencies list)</w:t>
      </w:r>
    </w:p>
    <w:p w14:paraId="26C2AAA2" w14:textId="77777777" w:rsidR="00A7604D" w:rsidRDefault="00A7604D" w:rsidP="00A7604D">
      <w:pPr>
        <w:rPr>
          <w:rFonts w:ascii="Arial" w:hAnsi="Arial"/>
          <w:highlight w:val="yellow"/>
        </w:rPr>
      </w:pPr>
      <w:r w:rsidRPr="1974B432">
        <w:rPr>
          <w:rFonts w:ascii="Arial" w:hAnsi="Arial"/>
          <w:highlight w:val="yellow"/>
        </w:rPr>
        <w:lastRenderedPageBreak/>
        <w:t>48CW</w:t>
      </w:r>
      <w:r>
        <w:tab/>
      </w:r>
      <w:r>
        <w:tab/>
      </w:r>
      <w:r w:rsidRPr="1974B432">
        <w:rPr>
          <w:rFonts w:ascii="Arial" w:hAnsi="Arial"/>
          <w:highlight w:val="yellow"/>
        </w:rPr>
        <w:t>263X</w:t>
      </w:r>
      <w:r>
        <w:tab/>
      </w:r>
      <w:r w:rsidRPr="1974B432">
        <w:rPr>
          <w:rFonts w:ascii="Arial" w:hAnsi="Arial"/>
          <w:highlight w:val="yellow"/>
        </w:rPr>
        <w:t>Caldwell Memorial Hospital (part of UNC System – see Agencies list)</w:t>
      </w:r>
    </w:p>
    <w:p w14:paraId="4DD90912" w14:textId="50B39755" w:rsidR="00241905" w:rsidRDefault="00241905" w:rsidP="00A7604D">
      <w:pPr>
        <w:rPr>
          <w:rFonts w:ascii="Arial" w:hAnsi="Arial"/>
          <w:highlight w:val="yellow"/>
        </w:rPr>
      </w:pPr>
      <w:r>
        <w:rPr>
          <w:rFonts w:ascii="Arial" w:hAnsi="Arial"/>
          <w:highlight w:val="yellow"/>
        </w:rPr>
        <w:t>48CC</w:t>
      </w:r>
      <w:r>
        <w:rPr>
          <w:rFonts w:ascii="Arial" w:hAnsi="Arial"/>
          <w:highlight w:val="yellow"/>
        </w:rPr>
        <w:tab/>
      </w:r>
      <w:r>
        <w:rPr>
          <w:rFonts w:ascii="Arial" w:hAnsi="Arial"/>
          <w:highlight w:val="yellow"/>
        </w:rPr>
        <w:tab/>
        <w:t>263X</w:t>
      </w:r>
      <w:r>
        <w:rPr>
          <w:rFonts w:ascii="Arial" w:hAnsi="Arial"/>
          <w:highlight w:val="yellow"/>
        </w:rPr>
        <w:tab/>
      </w:r>
      <w:r w:rsidR="00772172">
        <w:rPr>
          <w:rFonts w:ascii="Arial" w:hAnsi="Arial"/>
          <w:highlight w:val="yellow"/>
        </w:rPr>
        <w:t xml:space="preserve">Carolina Collaborative Insurance Group </w:t>
      </w:r>
      <w:r w:rsidR="00772172" w:rsidRPr="00772172">
        <w:rPr>
          <w:rFonts w:ascii="Arial" w:hAnsi="Arial"/>
          <w:sz w:val="18"/>
          <w:szCs w:val="18"/>
          <w:highlight w:val="yellow"/>
        </w:rPr>
        <w:t>(part of UNC System – See Agencies list)</w:t>
      </w:r>
    </w:p>
    <w:p w14:paraId="1518C6AC" w14:textId="77777777" w:rsidR="00A7604D" w:rsidRDefault="00A7604D">
      <w:pPr>
        <w:rPr>
          <w:rFonts w:ascii="Arial" w:hAnsi="Arial"/>
          <w:highlight w:val="yellow"/>
        </w:rPr>
      </w:pPr>
      <w:r w:rsidRPr="1974B432">
        <w:rPr>
          <w:rFonts w:ascii="Arial" w:hAnsi="Arial"/>
          <w:highlight w:val="yellow"/>
        </w:rPr>
        <w:t>87</w:t>
      </w:r>
      <w:r>
        <w:tab/>
      </w:r>
      <w:r>
        <w:tab/>
      </w:r>
      <w:r w:rsidRPr="1974B432">
        <w:rPr>
          <w:rFonts w:ascii="Arial" w:hAnsi="Arial"/>
          <w:highlight w:val="yellow"/>
        </w:rPr>
        <w:t>4XXX</w:t>
      </w:r>
      <w:r>
        <w:tab/>
      </w:r>
      <w:r w:rsidRPr="1974B432">
        <w:rPr>
          <w:rFonts w:ascii="Arial" w:hAnsi="Arial"/>
          <w:highlight w:val="yellow"/>
        </w:rPr>
        <w:t>NC School of Science &amp; Math (part of UNC System)</w:t>
      </w:r>
    </w:p>
    <w:p w14:paraId="728A6256" w14:textId="77777777" w:rsidR="00A7604D" w:rsidRDefault="00A7604D" w:rsidP="00A7604D">
      <w:pPr>
        <w:rPr>
          <w:rFonts w:ascii="Arial" w:hAnsi="Arial"/>
          <w:highlight w:val="yellow"/>
        </w:rPr>
      </w:pPr>
      <w:r w:rsidRPr="1974B432">
        <w:rPr>
          <w:rFonts w:ascii="Arial" w:hAnsi="Arial"/>
          <w:highlight w:val="yellow"/>
        </w:rPr>
        <w:t>Z2</w:t>
      </w:r>
      <w:r>
        <w:tab/>
      </w:r>
      <w:r>
        <w:tab/>
      </w:r>
      <w:r w:rsidRPr="1974B432">
        <w:rPr>
          <w:rFonts w:ascii="Arial" w:hAnsi="Arial"/>
          <w:highlight w:val="yellow"/>
        </w:rPr>
        <w:t>2618</w:t>
      </w:r>
      <w:r>
        <w:tab/>
      </w:r>
      <w:r w:rsidRPr="1974B432">
        <w:rPr>
          <w:rFonts w:ascii="Arial" w:hAnsi="Arial"/>
          <w:highlight w:val="yellow"/>
        </w:rPr>
        <w:t>N.C. Biotechnology Center</w:t>
      </w:r>
    </w:p>
    <w:p w14:paraId="41EB83BD" w14:textId="77777777" w:rsidR="00A7604D" w:rsidRDefault="00A7604D" w:rsidP="00A7604D">
      <w:pPr>
        <w:rPr>
          <w:rFonts w:ascii="Arial" w:hAnsi="Arial"/>
          <w:highlight w:val="yellow"/>
        </w:rPr>
      </w:pPr>
      <w:r w:rsidRPr="1974B432">
        <w:rPr>
          <w:rFonts w:ascii="Arial" w:hAnsi="Arial"/>
          <w:highlight w:val="yellow"/>
        </w:rPr>
        <w:t>Z3</w:t>
      </w:r>
      <w:r>
        <w:tab/>
      </w:r>
      <w:r>
        <w:tab/>
      </w:r>
      <w:r w:rsidRPr="1974B432">
        <w:rPr>
          <w:rFonts w:ascii="Arial" w:hAnsi="Arial"/>
          <w:highlight w:val="yellow"/>
        </w:rPr>
        <w:t>2615</w:t>
      </w:r>
      <w:r>
        <w:tab/>
      </w:r>
      <w:r w:rsidRPr="1974B432">
        <w:rPr>
          <w:rFonts w:ascii="Arial" w:hAnsi="Arial"/>
          <w:highlight w:val="yellow"/>
        </w:rPr>
        <w:t xml:space="preserve">N.C. Global </w:t>
      </w:r>
      <w:proofErr w:type="spellStart"/>
      <w:r w:rsidRPr="1974B432">
        <w:rPr>
          <w:rFonts w:ascii="Arial" w:hAnsi="Arial"/>
          <w:highlight w:val="yellow"/>
        </w:rPr>
        <w:t>TransPark</w:t>
      </w:r>
      <w:proofErr w:type="spellEnd"/>
      <w:r w:rsidRPr="1974B432">
        <w:rPr>
          <w:rFonts w:ascii="Arial" w:hAnsi="Arial"/>
          <w:highlight w:val="yellow"/>
        </w:rPr>
        <w:t xml:space="preserve"> Authority</w:t>
      </w:r>
    </w:p>
    <w:p w14:paraId="0329C54D" w14:textId="77777777" w:rsidR="00A7604D" w:rsidRPr="008120AC" w:rsidRDefault="00A7604D" w:rsidP="00A7604D">
      <w:pPr>
        <w:rPr>
          <w:rFonts w:ascii="Arial" w:hAnsi="Arial"/>
          <w:highlight w:val="yellow"/>
        </w:rPr>
      </w:pPr>
      <w:r w:rsidRPr="1974B432">
        <w:rPr>
          <w:rFonts w:ascii="Arial" w:hAnsi="Arial"/>
          <w:highlight w:val="yellow"/>
        </w:rPr>
        <w:t>Z7</w:t>
      </w:r>
      <w:r>
        <w:tab/>
      </w:r>
      <w:r>
        <w:tab/>
      </w:r>
      <w:r w:rsidRPr="1974B432">
        <w:rPr>
          <w:rFonts w:ascii="Arial" w:hAnsi="Arial"/>
          <w:highlight w:val="yellow"/>
        </w:rPr>
        <w:t>2621</w:t>
      </w:r>
      <w:r>
        <w:tab/>
      </w:r>
      <w:r w:rsidRPr="1974B432">
        <w:rPr>
          <w:rFonts w:ascii="Arial" w:hAnsi="Arial"/>
          <w:highlight w:val="yellow"/>
        </w:rPr>
        <w:t>N.C. Partnership for Children</w:t>
      </w:r>
    </w:p>
    <w:p w14:paraId="7482D411" w14:textId="77777777" w:rsidR="004E46A3" w:rsidRDefault="004E46A3">
      <w:pPr>
        <w:rPr>
          <w:rFonts w:ascii="Arial" w:hAnsi="Arial"/>
          <w:highlight w:val="yellow"/>
        </w:rPr>
      </w:pPr>
      <w:r w:rsidRPr="1974B432">
        <w:rPr>
          <w:rFonts w:ascii="Arial" w:hAnsi="Arial"/>
          <w:highlight w:val="yellow"/>
        </w:rPr>
        <w:t>ZA</w:t>
      </w:r>
      <w:r>
        <w:tab/>
      </w:r>
      <w:r>
        <w:tab/>
      </w:r>
      <w:r w:rsidRPr="1974B432">
        <w:rPr>
          <w:rFonts w:ascii="Arial" w:hAnsi="Arial"/>
          <w:highlight w:val="yellow"/>
        </w:rPr>
        <w:t>2612</w:t>
      </w:r>
      <w:r>
        <w:tab/>
      </w:r>
      <w:r w:rsidRPr="1974B432">
        <w:rPr>
          <w:rFonts w:ascii="Arial" w:hAnsi="Arial"/>
          <w:highlight w:val="yellow"/>
        </w:rPr>
        <w:t>State Ports Authority</w:t>
      </w:r>
    </w:p>
    <w:p w14:paraId="5A0E79C0" w14:textId="77777777" w:rsidR="00A7604D" w:rsidRDefault="00A7604D" w:rsidP="00A7604D">
      <w:pPr>
        <w:rPr>
          <w:rFonts w:ascii="Arial" w:hAnsi="Arial"/>
          <w:highlight w:val="yellow"/>
        </w:rPr>
      </w:pPr>
      <w:r w:rsidRPr="1974B432">
        <w:rPr>
          <w:rFonts w:ascii="Arial" w:hAnsi="Arial"/>
          <w:highlight w:val="yellow"/>
        </w:rPr>
        <w:t>ZB</w:t>
      </w:r>
      <w:r>
        <w:tab/>
      </w:r>
      <w:r>
        <w:tab/>
      </w:r>
      <w:r w:rsidRPr="1974B432">
        <w:rPr>
          <w:rFonts w:ascii="Arial" w:hAnsi="Arial"/>
          <w:highlight w:val="yellow"/>
        </w:rPr>
        <w:t>2620</w:t>
      </w:r>
      <w:r>
        <w:tab/>
      </w:r>
      <w:r w:rsidRPr="1974B432">
        <w:rPr>
          <w:rFonts w:ascii="Arial" w:hAnsi="Arial"/>
          <w:highlight w:val="yellow"/>
        </w:rPr>
        <w:t>State Education Assistance Authority</w:t>
      </w:r>
    </w:p>
    <w:p w14:paraId="7861A8F7" w14:textId="77777777" w:rsidR="00A7604D" w:rsidRDefault="00A7604D" w:rsidP="00A7604D">
      <w:pPr>
        <w:rPr>
          <w:rFonts w:ascii="Arial" w:hAnsi="Arial"/>
          <w:highlight w:val="yellow"/>
        </w:rPr>
      </w:pPr>
      <w:r w:rsidRPr="1974B432">
        <w:rPr>
          <w:rFonts w:ascii="Arial" w:hAnsi="Arial"/>
          <w:highlight w:val="yellow"/>
        </w:rPr>
        <w:t>ZG</w:t>
      </w:r>
      <w:r>
        <w:tab/>
      </w:r>
      <w:r>
        <w:tab/>
      </w:r>
      <w:r w:rsidRPr="1974B432">
        <w:rPr>
          <w:rFonts w:ascii="Arial" w:hAnsi="Arial"/>
          <w:highlight w:val="yellow"/>
        </w:rPr>
        <w:t>2626</w:t>
      </w:r>
      <w:r>
        <w:tab/>
      </w:r>
      <w:r w:rsidRPr="1974B432">
        <w:rPr>
          <w:rFonts w:ascii="Arial" w:hAnsi="Arial"/>
          <w:highlight w:val="yellow"/>
        </w:rPr>
        <w:t>Centennial Authority</w:t>
      </w:r>
    </w:p>
    <w:p w14:paraId="559C135A" w14:textId="77777777" w:rsidR="00A7604D" w:rsidRDefault="00A7604D" w:rsidP="00A7604D">
      <w:pPr>
        <w:rPr>
          <w:rFonts w:ascii="Arial" w:hAnsi="Arial"/>
          <w:highlight w:val="yellow"/>
        </w:rPr>
      </w:pPr>
      <w:r w:rsidRPr="1974B432">
        <w:rPr>
          <w:rFonts w:ascii="Arial" w:hAnsi="Arial"/>
          <w:highlight w:val="yellow"/>
        </w:rPr>
        <w:t>ZH</w:t>
      </w:r>
      <w:r>
        <w:tab/>
      </w:r>
      <w:r>
        <w:tab/>
      </w:r>
      <w:r w:rsidRPr="1974B432">
        <w:rPr>
          <w:rFonts w:ascii="Arial" w:hAnsi="Arial"/>
          <w:highlight w:val="yellow"/>
        </w:rPr>
        <w:t>2627</w:t>
      </w:r>
      <w:r>
        <w:tab/>
      </w:r>
      <w:r w:rsidRPr="1974B432">
        <w:rPr>
          <w:rFonts w:ascii="Arial" w:hAnsi="Arial"/>
          <w:highlight w:val="yellow"/>
        </w:rPr>
        <w:t>North Carolina Railroad Company</w:t>
      </w:r>
    </w:p>
    <w:p w14:paraId="5F9F34D7" w14:textId="77777777" w:rsidR="00A7604D" w:rsidRDefault="00A7604D" w:rsidP="00A7604D">
      <w:pPr>
        <w:rPr>
          <w:rFonts w:ascii="Arial" w:hAnsi="Arial"/>
          <w:highlight w:val="yellow"/>
        </w:rPr>
      </w:pPr>
      <w:r w:rsidRPr="1974B432">
        <w:rPr>
          <w:rFonts w:ascii="Arial" w:hAnsi="Arial"/>
          <w:highlight w:val="yellow"/>
        </w:rPr>
        <w:t>ZI</w:t>
      </w:r>
      <w:r>
        <w:tab/>
      </w:r>
      <w:r>
        <w:tab/>
      </w:r>
      <w:r w:rsidRPr="1974B432">
        <w:rPr>
          <w:rFonts w:ascii="Arial" w:hAnsi="Arial"/>
          <w:highlight w:val="yellow"/>
        </w:rPr>
        <w:t>2640</w:t>
      </w:r>
      <w:r>
        <w:tab/>
      </w:r>
      <w:r w:rsidRPr="1974B432">
        <w:rPr>
          <w:rFonts w:ascii="Arial" w:hAnsi="Arial"/>
          <w:highlight w:val="yellow"/>
        </w:rPr>
        <w:t>The Golden LEAF, Inc.</w:t>
      </w:r>
      <w:r>
        <w:rPr>
          <w:rFonts w:ascii="Arial" w:hAnsi="Arial"/>
        </w:rPr>
        <w:t xml:space="preserve"> </w:t>
      </w:r>
    </w:p>
    <w:p w14:paraId="79BB1171" w14:textId="1B3353FE" w:rsidR="00A7604D" w:rsidRDefault="00A7604D" w:rsidP="00A7604D">
      <w:pPr>
        <w:rPr>
          <w:rFonts w:ascii="Arial" w:hAnsi="Arial"/>
          <w:highlight w:val="yellow"/>
        </w:rPr>
      </w:pPr>
      <w:r w:rsidRPr="1974B432">
        <w:rPr>
          <w:rFonts w:ascii="Arial" w:hAnsi="Arial"/>
          <w:highlight w:val="yellow"/>
        </w:rPr>
        <w:t>ZL</w:t>
      </w:r>
      <w:r>
        <w:tab/>
      </w:r>
      <w:r>
        <w:tab/>
      </w:r>
      <w:r w:rsidRPr="1974B432">
        <w:rPr>
          <w:rFonts w:ascii="Arial" w:hAnsi="Arial"/>
          <w:highlight w:val="yellow"/>
        </w:rPr>
        <w:t>4XXX</w:t>
      </w:r>
      <w:r>
        <w:tab/>
      </w:r>
      <w:r w:rsidRPr="1974B432">
        <w:rPr>
          <w:rFonts w:ascii="Arial" w:hAnsi="Arial"/>
          <w:highlight w:val="yellow"/>
        </w:rPr>
        <w:t>Gateway Research Park (Part of UNC System)</w:t>
      </w:r>
    </w:p>
    <w:p w14:paraId="18990720" w14:textId="77777777" w:rsidR="00A7604D" w:rsidRDefault="00A7604D" w:rsidP="00A7604D">
      <w:pPr>
        <w:rPr>
          <w:rFonts w:ascii="Arial" w:hAnsi="Arial"/>
          <w:highlight w:val="yellow"/>
        </w:rPr>
      </w:pPr>
      <w:r w:rsidRPr="1974B432">
        <w:rPr>
          <w:rFonts w:ascii="Arial" w:hAnsi="Arial"/>
          <w:highlight w:val="yellow"/>
        </w:rPr>
        <w:t>ZM</w:t>
      </w:r>
      <w:r>
        <w:tab/>
      </w:r>
      <w:r>
        <w:tab/>
      </w:r>
      <w:r w:rsidRPr="1974B432">
        <w:rPr>
          <w:rFonts w:ascii="Arial" w:hAnsi="Arial"/>
          <w:highlight w:val="yellow"/>
        </w:rPr>
        <w:t>2644</w:t>
      </w:r>
      <w:r>
        <w:tab/>
      </w:r>
      <w:r w:rsidRPr="1974B432">
        <w:rPr>
          <w:rFonts w:ascii="Arial" w:hAnsi="Arial"/>
          <w:highlight w:val="yellow"/>
        </w:rPr>
        <w:t>Economic Development Partnership of NC</w:t>
      </w:r>
    </w:p>
    <w:p w14:paraId="663B52FB" w14:textId="091B25AD" w:rsidR="2800FB94" w:rsidRDefault="2800FB94" w:rsidP="1974B432">
      <w:pPr>
        <w:rPr>
          <w:rFonts w:ascii="Arial" w:hAnsi="Arial"/>
          <w:highlight w:val="yellow"/>
        </w:rPr>
      </w:pPr>
      <w:r w:rsidRPr="1974B432">
        <w:rPr>
          <w:rFonts w:ascii="Arial" w:hAnsi="Arial"/>
          <w:highlight w:val="yellow"/>
        </w:rPr>
        <w:t>ZN</w:t>
      </w:r>
      <w:r>
        <w:tab/>
      </w:r>
      <w:r>
        <w:tab/>
      </w:r>
      <w:r w:rsidR="004B26F5" w:rsidRPr="1974B432">
        <w:rPr>
          <w:rFonts w:ascii="Arial" w:hAnsi="Arial"/>
          <w:highlight w:val="yellow"/>
        </w:rPr>
        <w:t>4XXX</w:t>
      </w:r>
      <w:r>
        <w:tab/>
      </w:r>
      <w:r w:rsidRPr="1974B432">
        <w:rPr>
          <w:rFonts w:ascii="Arial" w:hAnsi="Arial"/>
          <w:highlight w:val="yellow"/>
        </w:rPr>
        <w:t>Project Kitty Hawk</w:t>
      </w:r>
      <w:r w:rsidR="0046361E">
        <w:rPr>
          <w:rFonts w:ascii="Arial" w:hAnsi="Arial"/>
          <w:highlight w:val="yellow"/>
        </w:rPr>
        <w:t xml:space="preserve"> (Part of UNC System)</w:t>
      </w:r>
    </w:p>
    <w:p w14:paraId="41B31FD5" w14:textId="77777777" w:rsidR="004E46A3" w:rsidRDefault="004E46A3" w:rsidP="00E013F6">
      <w:pPr>
        <w:ind w:left="1440" w:hanging="1440"/>
        <w:rPr>
          <w:rFonts w:ascii="Arial" w:hAnsi="Arial"/>
          <w:highlight w:val="yellow"/>
        </w:rPr>
      </w:pPr>
      <w:r w:rsidRPr="1974B432">
        <w:rPr>
          <w:rFonts w:ascii="Arial" w:hAnsi="Arial"/>
          <w:highlight w:val="yellow"/>
        </w:rPr>
        <w:t>UXX</w:t>
      </w:r>
      <w:r>
        <w:tab/>
      </w:r>
      <w:r w:rsidRPr="1974B432">
        <w:rPr>
          <w:rFonts w:ascii="Arial" w:hAnsi="Arial"/>
          <w:highlight w:val="yellow"/>
        </w:rPr>
        <w:t>4XXX</w:t>
      </w:r>
      <w:r>
        <w:tab/>
      </w:r>
      <w:r w:rsidRPr="1974B432">
        <w:rPr>
          <w:rFonts w:ascii="Arial" w:hAnsi="Arial"/>
          <w:highlight w:val="yellow"/>
        </w:rPr>
        <w:t>UNC System (1</w:t>
      </w:r>
      <w:r w:rsidR="0021073B" w:rsidRPr="1974B432">
        <w:rPr>
          <w:rFonts w:ascii="Arial" w:hAnsi="Arial"/>
          <w:highlight w:val="yellow"/>
        </w:rPr>
        <w:t xml:space="preserve">6 universities </w:t>
      </w:r>
      <w:r w:rsidR="00E013F6" w:rsidRPr="1974B432">
        <w:rPr>
          <w:rFonts w:ascii="Arial" w:hAnsi="Arial"/>
          <w:highlight w:val="yellow"/>
        </w:rPr>
        <w:t xml:space="preserve">and UNC </w:t>
      </w:r>
      <w:r w:rsidR="00B75581" w:rsidRPr="1974B432">
        <w:rPr>
          <w:rFonts w:ascii="Arial" w:hAnsi="Arial"/>
          <w:highlight w:val="yellow"/>
        </w:rPr>
        <w:t>System Office</w:t>
      </w:r>
      <w:r w:rsidR="0021073B" w:rsidRPr="1974B432">
        <w:rPr>
          <w:rFonts w:ascii="Arial" w:hAnsi="Arial"/>
          <w:highlight w:val="yellow"/>
        </w:rPr>
        <w:t xml:space="preserve"> – see Agencies list</w:t>
      </w:r>
      <w:r w:rsidRPr="1974B432">
        <w:rPr>
          <w:rFonts w:ascii="Arial" w:hAnsi="Arial"/>
          <w:highlight w:val="yellow"/>
        </w:rPr>
        <w:t>)</w:t>
      </w:r>
    </w:p>
    <w:p w14:paraId="1106A195" w14:textId="0C56AC02" w:rsidR="004E46A3" w:rsidRPr="00D5654E" w:rsidRDefault="007F6D06" w:rsidP="00D5654E">
      <w:pPr>
        <w:pStyle w:val="Footer"/>
        <w:tabs>
          <w:tab w:val="clear" w:pos="4320"/>
          <w:tab w:val="clear" w:pos="8640"/>
        </w:tabs>
        <w:rPr>
          <w:rFonts w:ascii="Arial" w:hAnsi="Arial"/>
          <w:highlight w:val="yellow"/>
        </w:rPr>
      </w:pPr>
      <w:r w:rsidRPr="1974B432">
        <w:rPr>
          <w:rFonts w:ascii="Arial" w:hAnsi="Arial"/>
          <w:highlight w:val="yellow"/>
        </w:rPr>
        <w:t>CX-DX</w:t>
      </w:r>
      <w:r w:rsidR="004E46A3">
        <w:tab/>
      </w:r>
      <w:r w:rsidR="004E46A3">
        <w:tab/>
      </w:r>
      <w:r w:rsidR="004E46A3" w:rsidRPr="1974B432">
        <w:rPr>
          <w:rFonts w:ascii="Arial" w:hAnsi="Arial"/>
          <w:highlight w:val="yellow"/>
        </w:rPr>
        <w:t>4XXX</w:t>
      </w:r>
      <w:r w:rsidR="004E46A3">
        <w:tab/>
      </w:r>
      <w:r w:rsidR="004E46A3" w:rsidRPr="1974B432">
        <w:rPr>
          <w:rFonts w:ascii="Arial" w:hAnsi="Arial"/>
          <w:highlight w:val="yellow"/>
        </w:rPr>
        <w:t>Community Colleges</w:t>
      </w:r>
      <w:r w:rsidR="00573523" w:rsidRPr="1974B432">
        <w:rPr>
          <w:rFonts w:ascii="Arial" w:hAnsi="Arial"/>
          <w:highlight w:val="yellow"/>
        </w:rPr>
        <w:t xml:space="preserve"> (58 c</w:t>
      </w:r>
      <w:r w:rsidR="0021073B" w:rsidRPr="1974B432">
        <w:rPr>
          <w:rFonts w:ascii="Arial" w:hAnsi="Arial"/>
          <w:highlight w:val="yellow"/>
        </w:rPr>
        <w:t>olleges – see Agencies list</w:t>
      </w:r>
      <w:r w:rsidR="00573523" w:rsidRPr="1974B432">
        <w:rPr>
          <w:rFonts w:ascii="Arial" w:hAnsi="Arial"/>
          <w:highlight w:val="yellow"/>
        </w:rPr>
        <w:t>)</w:t>
      </w:r>
    </w:p>
    <w:p w14:paraId="669D1DA3" w14:textId="77777777" w:rsidR="00D5654E" w:rsidRDefault="00D5654E">
      <w:pPr>
        <w:rPr>
          <w:rFonts w:ascii="Arial" w:hAnsi="Arial"/>
          <w:b/>
          <w:highlight w:val="yellow"/>
        </w:rPr>
      </w:pPr>
    </w:p>
    <w:p w14:paraId="1C6EA675" w14:textId="278405C2" w:rsidR="74FC4A86" w:rsidRDefault="74FC4A86" w:rsidP="781459E6">
      <w:pPr>
        <w:rPr>
          <w:rFonts w:ascii="Arial" w:hAnsi="Arial"/>
          <w:b/>
          <w:highlight w:val="yellow"/>
          <w:u w:val="single"/>
        </w:rPr>
      </w:pPr>
      <w:r w:rsidRPr="1974B432">
        <w:rPr>
          <w:rFonts w:ascii="Arial" w:hAnsi="Arial"/>
          <w:b/>
          <w:highlight w:val="yellow"/>
          <w:u w:val="single"/>
        </w:rPr>
        <w:t xml:space="preserve">Offline </w:t>
      </w:r>
      <w:r w:rsidR="7E427A95" w:rsidRPr="1974B432">
        <w:rPr>
          <w:rFonts w:ascii="Arial" w:hAnsi="Arial"/>
          <w:b/>
          <w:highlight w:val="yellow"/>
          <w:u w:val="single"/>
        </w:rPr>
        <w:t>Agencies</w:t>
      </w:r>
    </w:p>
    <w:p w14:paraId="5EC33797" w14:textId="526E196A" w:rsidR="781459E6" w:rsidRDefault="781459E6" w:rsidP="781459E6">
      <w:pPr>
        <w:rPr>
          <w:rFonts w:ascii="Arial" w:hAnsi="Arial"/>
          <w:highlight w:val="yellow"/>
        </w:rPr>
      </w:pPr>
    </w:p>
    <w:p w14:paraId="170BDEB1" w14:textId="19C22FD7" w:rsidR="7E427A95" w:rsidRDefault="7E427A95" w:rsidP="781459E6">
      <w:pPr>
        <w:rPr>
          <w:rFonts w:ascii="Arial" w:hAnsi="Arial"/>
          <w:highlight w:val="yellow"/>
        </w:rPr>
      </w:pPr>
      <w:r w:rsidRPr="1974B432">
        <w:rPr>
          <w:rFonts w:ascii="Arial" w:hAnsi="Arial"/>
          <w:highlight w:val="yellow"/>
        </w:rPr>
        <w:t>The following agencies are considered offline agencies of the State of North Carolina.</w:t>
      </w:r>
      <w:r w:rsidR="6B731387" w:rsidRPr="1974B432">
        <w:rPr>
          <w:rFonts w:ascii="Arial" w:hAnsi="Arial"/>
          <w:highlight w:val="yellow"/>
        </w:rPr>
        <w:t xml:space="preserve"> Use the following budget funds and GASB numbers </w:t>
      </w:r>
      <w:r w:rsidR="3EB246C5" w:rsidRPr="1974B432">
        <w:rPr>
          <w:rFonts w:ascii="Arial" w:hAnsi="Arial"/>
          <w:highlight w:val="yellow"/>
        </w:rPr>
        <w:t>if an agency has an interfund balance with an offline agency.</w:t>
      </w:r>
    </w:p>
    <w:p w14:paraId="374953B5" w14:textId="4C209285" w:rsidR="781459E6" w:rsidRDefault="781459E6" w:rsidP="781459E6">
      <w:pPr>
        <w:rPr>
          <w:rFonts w:ascii="Arial" w:hAnsi="Arial"/>
          <w:highlight w:val="yellow"/>
        </w:rPr>
      </w:pPr>
    </w:p>
    <w:p w14:paraId="27765C63" w14:textId="26BBB014" w:rsidR="79B6E6FA" w:rsidRDefault="79B6E6FA" w:rsidP="781459E6">
      <w:pPr>
        <w:rPr>
          <w:rFonts w:ascii="Arial" w:hAnsi="Arial"/>
          <w:highlight w:val="yellow"/>
        </w:rPr>
      </w:pPr>
      <w:r w:rsidRPr="1974B432">
        <w:rPr>
          <w:rFonts w:ascii="Arial" w:hAnsi="Arial"/>
          <w:highlight w:val="yellow"/>
          <w:u w:val="single"/>
        </w:rPr>
        <w:t>Offline Agency</w:t>
      </w:r>
      <w:r>
        <w:tab/>
      </w:r>
      <w:r>
        <w:tab/>
      </w:r>
      <w:r>
        <w:tab/>
      </w:r>
      <w:r>
        <w:tab/>
      </w:r>
      <w:r>
        <w:tab/>
      </w:r>
      <w:r w:rsidRPr="1974B432">
        <w:rPr>
          <w:rFonts w:ascii="Arial" w:hAnsi="Arial"/>
          <w:highlight w:val="yellow"/>
          <w:u w:val="single"/>
        </w:rPr>
        <w:t>Budget Fund</w:t>
      </w:r>
      <w:r>
        <w:tab/>
      </w:r>
      <w:r w:rsidRPr="1974B432">
        <w:rPr>
          <w:rFonts w:ascii="Arial" w:hAnsi="Arial"/>
          <w:highlight w:val="yellow"/>
          <w:u w:val="single"/>
        </w:rPr>
        <w:t>GASB Number</w:t>
      </w:r>
    </w:p>
    <w:p w14:paraId="7AE76AF5" w14:textId="718BA6FD" w:rsidR="79B6E6FA" w:rsidRDefault="79B6E6FA" w:rsidP="781459E6">
      <w:pPr>
        <w:rPr>
          <w:rFonts w:ascii="Arial" w:hAnsi="Arial"/>
          <w:highlight w:val="yellow"/>
        </w:rPr>
      </w:pPr>
      <w:r w:rsidRPr="1974B432">
        <w:rPr>
          <w:rFonts w:ascii="Arial" w:hAnsi="Arial"/>
          <w:highlight w:val="yellow"/>
        </w:rPr>
        <w:t>Battleship</w:t>
      </w:r>
      <w:r>
        <w:tab/>
      </w:r>
      <w:r>
        <w:tab/>
      </w:r>
      <w:r>
        <w:tab/>
      </w:r>
      <w:r>
        <w:tab/>
      </w:r>
      <w:r>
        <w:tab/>
      </w:r>
      <w:r w:rsidRPr="1974B432">
        <w:rPr>
          <w:rFonts w:ascii="Arial" w:hAnsi="Arial"/>
          <w:highlight w:val="yellow"/>
        </w:rPr>
        <w:t>90Z00B</w:t>
      </w:r>
      <w:r>
        <w:tab/>
      </w:r>
      <w:r>
        <w:tab/>
      </w:r>
      <w:r w:rsidRPr="1974B432">
        <w:rPr>
          <w:rFonts w:ascii="Arial" w:hAnsi="Arial"/>
          <w:highlight w:val="yellow"/>
        </w:rPr>
        <w:t>25170G</w:t>
      </w:r>
    </w:p>
    <w:p w14:paraId="71C803FD" w14:textId="04CEC845" w:rsidR="79B6E6FA" w:rsidRDefault="79B6E6FA" w:rsidP="781459E6">
      <w:pPr>
        <w:rPr>
          <w:rFonts w:ascii="Arial" w:hAnsi="Arial"/>
          <w:highlight w:val="yellow"/>
        </w:rPr>
      </w:pPr>
      <w:r w:rsidRPr="1974B432">
        <w:rPr>
          <w:rFonts w:ascii="Arial" w:hAnsi="Arial"/>
          <w:highlight w:val="yellow"/>
        </w:rPr>
        <w:t>Community Colleges</w:t>
      </w:r>
      <w:r>
        <w:tab/>
      </w:r>
      <w:r>
        <w:tab/>
      </w:r>
      <w:r>
        <w:tab/>
      </w:r>
      <w:r>
        <w:tab/>
      </w:r>
      <w:r w:rsidRPr="1974B432">
        <w:rPr>
          <w:rFonts w:ascii="Arial" w:hAnsi="Arial"/>
          <w:highlight w:val="yellow"/>
        </w:rPr>
        <w:t>90Z00C</w:t>
      </w:r>
      <w:r>
        <w:tab/>
      </w:r>
      <w:r>
        <w:tab/>
      </w:r>
      <w:r w:rsidR="0F3D8FB7" w:rsidRPr="1974B432">
        <w:rPr>
          <w:rFonts w:ascii="Arial" w:hAnsi="Arial"/>
          <w:highlight w:val="yellow"/>
        </w:rPr>
        <w:t>48100G</w:t>
      </w:r>
    </w:p>
    <w:p w14:paraId="62537F8E" w14:textId="608D5F92" w:rsidR="6BCE5014" w:rsidRDefault="6BCE5014" w:rsidP="781459E6">
      <w:pPr>
        <w:rPr>
          <w:rFonts w:ascii="Arial" w:hAnsi="Arial"/>
          <w:highlight w:val="yellow"/>
        </w:rPr>
      </w:pPr>
      <w:r w:rsidRPr="1974B432">
        <w:rPr>
          <w:rFonts w:ascii="Arial" w:hAnsi="Arial"/>
          <w:highlight w:val="yellow"/>
        </w:rPr>
        <w:t>NC Biotechnology Center</w:t>
      </w:r>
      <w:r>
        <w:tab/>
      </w:r>
      <w:r>
        <w:tab/>
      </w:r>
      <w:r>
        <w:tab/>
      </w:r>
      <w:r w:rsidR="2B2E7AF3" w:rsidRPr="1974B432">
        <w:rPr>
          <w:rFonts w:ascii="Arial" w:hAnsi="Arial"/>
          <w:highlight w:val="yellow"/>
        </w:rPr>
        <w:t>90Z200</w:t>
      </w:r>
      <w:r>
        <w:tab/>
      </w:r>
      <w:r>
        <w:tab/>
      </w:r>
      <w:r w:rsidR="2B2E7AF3" w:rsidRPr="1974B432">
        <w:rPr>
          <w:rFonts w:ascii="Arial" w:hAnsi="Arial"/>
          <w:highlight w:val="yellow"/>
        </w:rPr>
        <w:t>26180G</w:t>
      </w:r>
    </w:p>
    <w:p w14:paraId="4EF82B2C" w14:textId="5FD8BDB2" w:rsidR="54D7411F" w:rsidRDefault="54D7411F" w:rsidP="781459E6">
      <w:pPr>
        <w:rPr>
          <w:rFonts w:ascii="Arial" w:hAnsi="Arial"/>
          <w:highlight w:val="yellow"/>
        </w:rPr>
      </w:pPr>
      <w:r w:rsidRPr="1974B432">
        <w:rPr>
          <w:rFonts w:ascii="Arial" w:hAnsi="Arial"/>
          <w:highlight w:val="yellow"/>
        </w:rPr>
        <w:t>NC Partnership for Children</w:t>
      </w:r>
      <w:r>
        <w:tab/>
      </w:r>
      <w:r>
        <w:tab/>
      </w:r>
      <w:r>
        <w:tab/>
      </w:r>
      <w:r w:rsidRPr="1974B432">
        <w:rPr>
          <w:rFonts w:ascii="Arial" w:hAnsi="Arial"/>
          <w:highlight w:val="yellow"/>
        </w:rPr>
        <w:t>90Z700</w:t>
      </w:r>
      <w:r>
        <w:tab/>
      </w:r>
      <w:r>
        <w:tab/>
      </w:r>
      <w:r w:rsidRPr="1974B432">
        <w:rPr>
          <w:rFonts w:ascii="Arial" w:hAnsi="Arial"/>
          <w:highlight w:val="yellow"/>
        </w:rPr>
        <w:t>26210G</w:t>
      </w:r>
    </w:p>
    <w:p w14:paraId="707477DD" w14:textId="090EB39A" w:rsidR="0402AFDB" w:rsidRDefault="0402AFDB" w:rsidP="781459E6">
      <w:pPr>
        <w:rPr>
          <w:rFonts w:ascii="Arial" w:hAnsi="Arial"/>
          <w:highlight w:val="yellow"/>
        </w:rPr>
      </w:pPr>
      <w:r w:rsidRPr="1974B432">
        <w:rPr>
          <w:rFonts w:ascii="Arial" w:hAnsi="Arial"/>
          <w:highlight w:val="yellow"/>
        </w:rPr>
        <w:t>SEAA</w:t>
      </w:r>
      <w:r>
        <w:tab/>
      </w:r>
      <w:r>
        <w:tab/>
      </w:r>
      <w:r>
        <w:tab/>
      </w:r>
      <w:r>
        <w:tab/>
      </w:r>
      <w:r>
        <w:tab/>
      </w:r>
      <w:r>
        <w:tab/>
      </w:r>
      <w:r w:rsidRPr="1974B432">
        <w:rPr>
          <w:rFonts w:ascii="Arial" w:hAnsi="Arial"/>
          <w:highlight w:val="yellow"/>
        </w:rPr>
        <w:t>90ZB00</w:t>
      </w:r>
      <w:r>
        <w:tab/>
      </w:r>
      <w:r>
        <w:tab/>
      </w:r>
      <w:r w:rsidRPr="1974B432">
        <w:rPr>
          <w:rFonts w:ascii="Arial" w:hAnsi="Arial"/>
          <w:highlight w:val="yellow"/>
        </w:rPr>
        <w:t>26200G</w:t>
      </w:r>
    </w:p>
    <w:p w14:paraId="508780E8" w14:textId="07E08285" w:rsidR="0402AFDB" w:rsidRDefault="0402AFDB" w:rsidP="781459E6">
      <w:pPr>
        <w:rPr>
          <w:rFonts w:ascii="Arial" w:hAnsi="Arial"/>
          <w:highlight w:val="yellow"/>
        </w:rPr>
      </w:pPr>
      <w:r w:rsidRPr="1974B432">
        <w:rPr>
          <w:rFonts w:ascii="Arial" w:hAnsi="Arial"/>
          <w:highlight w:val="yellow"/>
        </w:rPr>
        <w:t>Centennial Authority</w:t>
      </w:r>
      <w:r>
        <w:tab/>
      </w:r>
      <w:r>
        <w:tab/>
      </w:r>
      <w:r>
        <w:tab/>
      </w:r>
      <w:r>
        <w:tab/>
      </w:r>
      <w:r w:rsidRPr="1974B432">
        <w:rPr>
          <w:rFonts w:ascii="Arial" w:hAnsi="Arial"/>
          <w:highlight w:val="yellow"/>
        </w:rPr>
        <w:t>90ZG00</w:t>
      </w:r>
      <w:r>
        <w:tab/>
      </w:r>
      <w:r w:rsidRPr="1974B432">
        <w:rPr>
          <w:rFonts w:ascii="Arial" w:hAnsi="Arial"/>
          <w:highlight w:val="yellow"/>
        </w:rPr>
        <w:t>26260G</w:t>
      </w:r>
    </w:p>
    <w:p w14:paraId="5A6ECC53" w14:textId="4C59ED10" w:rsidR="332DF0A7" w:rsidRDefault="332DF0A7" w:rsidP="781459E6">
      <w:pPr>
        <w:rPr>
          <w:rFonts w:ascii="Arial" w:hAnsi="Arial"/>
          <w:highlight w:val="yellow"/>
        </w:rPr>
      </w:pPr>
      <w:r w:rsidRPr="1974B432">
        <w:rPr>
          <w:rFonts w:ascii="Arial" w:hAnsi="Arial"/>
          <w:highlight w:val="yellow"/>
        </w:rPr>
        <w:t>NC Railroad Company</w:t>
      </w:r>
      <w:r>
        <w:tab/>
      </w:r>
      <w:r>
        <w:tab/>
      </w:r>
      <w:r>
        <w:tab/>
      </w:r>
      <w:r>
        <w:tab/>
      </w:r>
      <w:r w:rsidR="3EBB63C3" w:rsidRPr="1974B432">
        <w:rPr>
          <w:rFonts w:ascii="Arial" w:hAnsi="Arial"/>
          <w:highlight w:val="yellow"/>
        </w:rPr>
        <w:t>90ZH00</w:t>
      </w:r>
      <w:r>
        <w:tab/>
      </w:r>
      <w:r>
        <w:tab/>
      </w:r>
      <w:r w:rsidR="3EBB63C3" w:rsidRPr="1974B432">
        <w:rPr>
          <w:rFonts w:ascii="Arial" w:hAnsi="Arial"/>
          <w:highlight w:val="yellow"/>
        </w:rPr>
        <w:t>26270G</w:t>
      </w:r>
    </w:p>
    <w:p w14:paraId="46930159" w14:textId="5CDED58A" w:rsidR="6E5530FE" w:rsidRDefault="6E5530FE" w:rsidP="781459E6">
      <w:pPr>
        <w:rPr>
          <w:rFonts w:ascii="Arial" w:hAnsi="Arial"/>
          <w:highlight w:val="yellow"/>
        </w:rPr>
      </w:pPr>
      <w:r w:rsidRPr="1974B432">
        <w:rPr>
          <w:rFonts w:ascii="Arial" w:hAnsi="Arial"/>
          <w:highlight w:val="yellow"/>
        </w:rPr>
        <w:t xml:space="preserve">The Golden LEAF, Inc. </w:t>
      </w:r>
      <w:r>
        <w:tab/>
      </w:r>
      <w:r>
        <w:tab/>
      </w:r>
      <w:r>
        <w:tab/>
      </w:r>
      <w:r>
        <w:tab/>
      </w:r>
      <w:r w:rsidRPr="1974B432">
        <w:rPr>
          <w:rFonts w:ascii="Arial" w:hAnsi="Arial"/>
          <w:highlight w:val="yellow"/>
        </w:rPr>
        <w:t>90ZI00</w:t>
      </w:r>
      <w:r>
        <w:tab/>
      </w:r>
      <w:r>
        <w:tab/>
      </w:r>
      <w:r w:rsidRPr="1974B432">
        <w:rPr>
          <w:rFonts w:ascii="Arial" w:hAnsi="Arial"/>
          <w:highlight w:val="yellow"/>
        </w:rPr>
        <w:t>26400G</w:t>
      </w:r>
    </w:p>
    <w:p w14:paraId="2460976B" w14:textId="54F95066" w:rsidR="1A1A9587" w:rsidRDefault="1A1A9587" w:rsidP="781459E6">
      <w:pPr>
        <w:rPr>
          <w:rFonts w:ascii="Arial" w:hAnsi="Arial"/>
          <w:highlight w:val="yellow"/>
        </w:rPr>
      </w:pPr>
      <w:r w:rsidRPr="1974B432">
        <w:rPr>
          <w:rFonts w:ascii="Arial" w:hAnsi="Arial"/>
          <w:highlight w:val="yellow"/>
        </w:rPr>
        <w:t>Gateway Research Project</w:t>
      </w:r>
      <w:r>
        <w:tab/>
      </w:r>
      <w:r>
        <w:tab/>
      </w:r>
      <w:r>
        <w:tab/>
      </w:r>
      <w:r w:rsidR="4D3EEE95" w:rsidRPr="1974B432">
        <w:rPr>
          <w:rFonts w:ascii="Arial" w:hAnsi="Arial"/>
          <w:highlight w:val="yellow"/>
        </w:rPr>
        <w:t>90ZL00</w:t>
      </w:r>
      <w:r>
        <w:tab/>
      </w:r>
      <w:r>
        <w:tab/>
      </w:r>
      <w:r w:rsidR="5AA02C08" w:rsidRPr="1974B432">
        <w:rPr>
          <w:rFonts w:ascii="Arial" w:hAnsi="Arial"/>
          <w:highlight w:val="yellow"/>
        </w:rPr>
        <w:t>42720G</w:t>
      </w:r>
    </w:p>
    <w:p w14:paraId="19D8F248" w14:textId="7C2D80C6" w:rsidR="01AB9B43" w:rsidRDefault="01AB9B43" w:rsidP="781459E6">
      <w:pPr>
        <w:rPr>
          <w:rFonts w:ascii="Arial" w:hAnsi="Arial"/>
          <w:highlight w:val="yellow"/>
        </w:rPr>
      </w:pPr>
      <w:r w:rsidRPr="1974B432">
        <w:rPr>
          <w:rFonts w:ascii="Arial" w:hAnsi="Arial"/>
          <w:highlight w:val="yellow"/>
        </w:rPr>
        <w:t>Economic Development Partnership</w:t>
      </w:r>
      <w:r w:rsidR="141E6FEC" w:rsidRPr="1974B432">
        <w:rPr>
          <w:rFonts w:ascii="Arial" w:hAnsi="Arial"/>
          <w:highlight w:val="yellow"/>
        </w:rPr>
        <w:t xml:space="preserve"> of NC</w:t>
      </w:r>
      <w:r>
        <w:tab/>
      </w:r>
      <w:r w:rsidR="419A18A9" w:rsidRPr="1974B432">
        <w:rPr>
          <w:rFonts w:ascii="Arial" w:hAnsi="Arial"/>
          <w:highlight w:val="yellow"/>
        </w:rPr>
        <w:t>90ZM00</w:t>
      </w:r>
      <w:r>
        <w:tab/>
      </w:r>
      <w:r w:rsidR="419A18A9" w:rsidRPr="1974B432">
        <w:rPr>
          <w:rFonts w:ascii="Arial" w:hAnsi="Arial"/>
          <w:highlight w:val="yellow"/>
        </w:rPr>
        <w:t>2644</w:t>
      </w:r>
      <w:r w:rsidR="46FD0238" w:rsidRPr="1974B432">
        <w:rPr>
          <w:rFonts w:ascii="Arial" w:hAnsi="Arial"/>
          <w:highlight w:val="yellow"/>
        </w:rPr>
        <w:t>0G</w:t>
      </w:r>
    </w:p>
    <w:p w14:paraId="245639FE" w14:textId="40146454" w:rsidR="46FD0238" w:rsidRDefault="46FD0238" w:rsidP="781459E6">
      <w:pPr>
        <w:rPr>
          <w:rFonts w:ascii="Arial" w:hAnsi="Arial"/>
          <w:highlight w:val="yellow"/>
        </w:rPr>
      </w:pPr>
      <w:r w:rsidRPr="1974B432">
        <w:rPr>
          <w:rFonts w:ascii="Arial" w:hAnsi="Arial"/>
          <w:highlight w:val="yellow"/>
        </w:rPr>
        <w:t>Project Kitty Hawk</w:t>
      </w:r>
      <w:r>
        <w:tab/>
      </w:r>
      <w:r>
        <w:tab/>
      </w:r>
      <w:r>
        <w:tab/>
      </w:r>
      <w:r>
        <w:tab/>
      </w:r>
      <w:r w:rsidRPr="1974B432">
        <w:rPr>
          <w:rFonts w:ascii="Arial" w:hAnsi="Arial"/>
          <w:highlight w:val="yellow"/>
        </w:rPr>
        <w:t>90ZN00</w:t>
      </w:r>
      <w:r>
        <w:tab/>
      </w:r>
      <w:r>
        <w:tab/>
      </w:r>
      <w:r w:rsidRPr="1974B432">
        <w:rPr>
          <w:rFonts w:ascii="Arial" w:hAnsi="Arial"/>
          <w:highlight w:val="yellow"/>
        </w:rPr>
        <w:t>43710G</w:t>
      </w:r>
    </w:p>
    <w:p w14:paraId="34ABF5DE" w14:textId="6A3C21A9" w:rsidR="781459E6" w:rsidRDefault="781459E6" w:rsidP="781459E6">
      <w:pPr>
        <w:rPr>
          <w:rFonts w:ascii="Arial" w:hAnsi="Arial"/>
          <w:b/>
          <w:bCs/>
        </w:rPr>
      </w:pPr>
    </w:p>
    <w:p w14:paraId="35AA694B" w14:textId="5EA9DFFA" w:rsidR="00D5654E" w:rsidRPr="00D5654E" w:rsidRDefault="00D5654E">
      <w:pPr>
        <w:rPr>
          <w:rFonts w:ascii="Arial" w:hAnsi="Arial"/>
          <w:b/>
          <w:u w:val="single"/>
        </w:rPr>
      </w:pPr>
      <w:r w:rsidRPr="00D5654E">
        <w:rPr>
          <w:rFonts w:ascii="Arial" w:hAnsi="Arial"/>
          <w:b/>
          <w:u w:val="single"/>
        </w:rPr>
        <w:t>Thresholds</w:t>
      </w:r>
    </w:p>
    <w:p w14:paraId="4FF36502" w14:textId="77777777" w:rsidR="00D5654E" w:rsidRDefault="00D5654E">
      <w:pPr>
        <w:rPr>
          <w:rFonts w:ascii="Arial" w:hAnsi="Arial"/>
          <w:b/>
        </w:rPr>
      </w:pPr>
    </w:p>
    <w:p w14:paraId="79DFCBFA" w14:textId="7AE9CE8E" w:rsidR="00D5654E" w:rsidRDefault="00D5654E" w:rsidP="00D5654E">
      <w:pPr>
        <w:rPr>
          <w:rFonts w:ascii="Arial" w:hAnsi="Arial"/>
        </w:rPr>
      </w:pPr>
      <w:r w:rsidRPr="487B8977">
        <w:rPr>
          <w:rFonts w:ascii="Arial" w:hAnsi="Arial"/>
          <w:b/>
          <w:bCs/>
          <w:u w:val="single"/>
        </w:rPr>
        <w:t xml:space="preserve">In general, a threshold of $1,000,000 applies to worksheets 505 through 530; however, there are exceptions to this threshold.  Therefore, be sure to read </w:t>
      </w:r>
      <w:proofErr w:type="gramStart"/>
      <w:r w:rsidRPr="487B8977">
        <w:rPr>
          <w:rFonts w:ascii="Arial" w:hAnsi="Arial"/>
          <w:b/>
          <w:bCs/>
          <w:u w:val="single"/>
        </w:rPr>
        <w:t>all of</w:t>
      </w:r>
      <w:proofErr w:type="gramEnd"/>
      <w:r w:rsidRPr="487B8977">
        <w:rPr>
          <w:rFonts w:ascii="Arial" w:hAnsi="Arial"/>
          <w:b/>
          <w:bCs/>
          <w:u w:val="single"/>
        </w:rPr>
        <w:t xml:space="preserve"> the instructions before completing a worksheet.</w:t>
      </w:r>
      <w:r w:rsidRPr="487B8977">
        <w:rPr>
          <w:rFonts w:ascii="Arial" w:hAnsi="Arial"/>
        </w:rPr>
        <w:t xml:space="preserve"> The $1,000,000 threshold should be applied in aggregate </w:t>
      </w:r>
      <w:r w:rsidRPr="487B8977">
        <w:rPr>
          <w:rFonts w:ascii="Arial" w:hAnsi="Arial"/>
          <w:b/>
          <w:bCs/>
        </w:rPr>
        <w:t>per Agency and per GASB</w:t>
      </w:r>
      <w:r w:rsidRPr="487B8977">
        <w:rPr>
          <w:rFonts w:ascii="Arial" w:hAnsi="Arial"/>
        </w:rPr>
        <w:t xml:space="preserve">.  Balances equal to or </w:t>
      </w:r>
      <w:proofErr w:type="gramStart"/>
      <w:r w:rsidRPr="487B8977">
        <w:rPr>
          <w:rFonts w:ascii="Arial" w:hAnsi="Arial"/>
        </w:rPr>
        <w:t>in excess of</w:t>
      </w:r>
      <w:proofErr w:type="gramEnd"/>
      <w:r w:rsidRPr="487B8977">
        <w:rPr>
          <w:rFonts w:ascii="Arial" w:hAnsi="Arial"/>
        </w:rPr>
        <w:t xml:space="preserve"> the threshold should be recorded as interfund balances in the appropriate account.  Int</w:t>
      </w:r>
      <w:r w:rsidR="00E6443E">
        <w:rPr>
          <w:rFonts w:ascii="Arial" w:hAnsi="Arial"/>
        </w:rPr>
        <w:t>er</w:t>
      </w:r>
      <w:r w:rsidRPr="487B8977">
        <w:rPr>
          <w:rFonts w:ascii="Arial" w:hAnsi="Arial"/>
        </w:rPr>
        <w:t>-agency balances below the threshold should be reclassified as Accounts Receivable or Accounts Payable.</w:t>
      </w:r>
    </w:p>
    <w:p w14:paraId="7D24CF29" w14:textId="77777777" w:rsidR="00935AC7" w:rsidRDefault="00935AC7" w:rsidP="00D5654E">
      <w:pPr>
        <w:rPr>
          <w:rFonts w:ascii="Arial" w:hAnsi="Arial"/>
        </w:rPr>
      </w:pPr>
    </w:p>
    <w:p w14:paraId="28172A96" w14:textId="03A0AA0C" w:rsidR="00935AC7" w:rsidRPr="00273926" w:rsidRDefault="00EF6CA8" w:rsidP="00D5654E">
      <w:pPr>
        <w:rPr>
          <w:rFonts w:ascii="Arial" w:hAnsi="Arial"/>
          <w:b/>
          <w:bCs/>
          <w:color w:val="EE0000"/>
        </w:rPr>
      </w:pPr>
      <w:r w:rsidRPr="00273926">
        <w:rPr>
          <w:rFonts w:ascii="Arial" w:hAnsi="Arial"/>
          <w:b/>
          <w:bCs/>
          <w:color w:val="EE0000"/>
        </w:rPr>
        <w:t xml:space="preserve">There is no threshold for </w:t>
      </w:r>
      <w:r w:rsidR="00935AC7" w:rsidRPr="00273926">
        <w:rPr>
          <w:rFonts w:ascii="Arial" w:hAnsi="Arial"/>
          <w:b/>
          <w:bCs/>
          <w:color w:val="EE0000"/>
        </w:rPr>
        <w:t>Intra-agency receivables and payables (</w:t>
      </w:r>
      <w:r w:rsidRPr="00273926">
        <w:rPr>
          <w:rFonts w:ascii="Arial" w:hAnsi="Arial"/>
          <w:b/>
          <w:bCs/>
          <w:color w:val="EE0000"/>
        </w:rPr>
        <w:t>receivables and payables between different GASBs at the same agency)</w:t>
      </w:r>
      <w:r w:rsidR="0049062C" w:rsidRPr="00273926">
        <w:rPr>
          <w:rFonts w:ascii="Arial" w:hAnsi="Arial"/>
          <w:b/>
          <w:bCs/>
          <w:color w:val="EE0000"/>
        </w:rPr>
        <w:t xml:space="preserve">.  </w:t>
      </w:r>
    </w:p>
    <w:p w14:paraId="19A1355A" w14:textId="77777777" w:rsidR="00D5654E" w:rsidRDefault="00D5654E" w:rsidP="00D5654E">
      <w:pPr>
        <w:rPr>
          <w:rFonts w:ascii="Arial" w:hAnsi="Arial"/>
        </w:rPr>
      </w:pPr>
    </w:p>
    <w:p w14:paraId="5888772A" w14:textId="77777777" w:rsidR="00D5654E" w:rsidRPr="00952288" w:rsidRDefault="00D5654E" w:rsidP="00D5654E">
      <w:pPr>
        <w:pStyle w:val="Footer"/>
        <w:tabs>
          <w:tab w:val="clear" w:pos="4320"/>
          <w:tab w:val="clear" w:pos="8640"/>
        </w:tabs>
        <w:rPr>
          <w:rFonts w:ascii="Arial" w:hAnsi="Arial"/>
          <w:b/>
        </w:rPr>
      </w:pPr>
      <w:r w:rsidRPr="000A0FA5">
        <w:rPr>
          <w:rFonts w:ascii="Arial" w:hAnsi="Arial"/>
          <w:b/>
        </w:rPr>
        <w:t xml:space="preserve">There is an exception for the due to and due from between agencies or component units and the Department of the State Treasurer (Agency 07) for </w:t>
      </w:r>
      <w:proofErr w:type="gramStart"/>
      <w:r w:rsidRPr="000A0FA5">
        <w:rPr>
          <w:rFonts w:ascii="Arial" w:hAnsi="Arial"/>
          <w:b/>
        </w:rPr>
        <w:t>retirement related</w:t>
      </w:r>
      <w:proofErr w:type="gramEnd"/>
      <w:r w:rsidRPr="000A0FA5">
        <w:rPr>
          <w:rFonts w:ascii="Arial" w:hAnsi="Arial"/>
          <w:b/>
        </w:rPr>
        <w:t xml:space="preserve"> accruals.</w:t>
      </w:r>
      <w:r>
        <w:rPr>
          <w:rFonts w:ascii="Arial" w:hAnsi="Arial"/>
          <w:b/>
        </w:rPr>
        <w:t xml:space="preserve">  </w:t>
      </w:r>
      <w:r w:rsidRPr="00952288">
        <w:rPr>
          <w:rFonts w:ascii="Arial" w:hAnsi="Arial"/>
          <w:b/>
        </w:rPr>
        <w:t xml:space="preserve">There is also an exception for Coronavirus Funds.  </w:t>
      </w:r>
    </w:p>
    <w:p w14:paraId="06506C50" w14:textId="77777777" w:rsidR="00D5654E" w:rsidRDefault="00D5654E" w:rsidP="00D5654E">
      <w:pPr>
        <w:rPr>
          <w:rFonts w:ascii="Arial" w:hAnsi="Arial"/>
        </w:rPr>
      </w:pPr>
    </w:p>
    <w:p w14:paraId="5657FBAC" w14:textId="77777777" w:rsidR="00D5654E" w:rsidRPr="005359EB" w:rsidRDefault="00D5654E" w:rsidP="00D5654E">
      <w:pPr>
        <w:rPr>
          <w:rFonts w:ascii="Arial" w:hAnsi="Arial"/>
        </w:rPr>
      </w:pPr>
      <w:r>
        <w:rPr>
          <w:rFonts w:ascii="Arial" w:hAnsi="Arial"/>
        </w:rPr>
        <w:t>T</w:t>
      </w:r>
      <w:r w:rsidRPr="005359EB">
        <w:rPr>
          <w:rFonts w:ascii="Arial" w:hAnsi="Arial"/>
        </w:rPr>
        <w:t>he $1,000,000 threshold does apply to payables to the following funds:</w:t>
      </w:r>
    </w:p>
    <w:p w14:paraId="3B04B524" w14:textId="77777777" w:rsidR="00D5654E" w:rsidRPr="005359EB" w:rsidRDefault="00D5654E" w:rsidP="00D5654E">
      <w:pPr>
        <w:rPr>
          <w:rFonts w:ascii="Arial" w:hAnsi="Arial"/>
          <w:u w:val="single"/>
        </w:rPr>
      </w:pPr>
    </w:p>
    <w:p w14:paraId="3EA5F341" w14:textId="77777777" w:rsidR="00D5654E" w:rsidRPr="005359EB" w:rsidRDefault="00D5654E" w:rsidP="00D5654E">
      <w:pPr>
        <w:rPr>
          <w:rFonts w:ascii="Arial" w:hAnsi="Arial"/>
        </w:rPr>
      </w:pPr>
      <w:r w:rsidRPr="005359EB">
        <w:rPr>
          <w:rFonts w:ascii="Arial" w:hAnsi="Arial"/>
          <w:u w:val="single"/>
        </w:rPr>
        <w:t>Payee Fund</w:t>
      </w:r>
      <w:r w:rsidRPr="005359EB">
        <w:rPr>
          <w:rFonts w:ascii="Arial" w:hAnsi="Arial"/>
        </w:rPr>
        <w:tab/>
      </w:r>
      <w:r w:rsidRPr="005359EB">
        <w:rPr>
          <w:rFonts w:ascii="Arial" w:hAnsi="Arial"/>
        </w:rPr>
        <w:tab/>
      </w:r>
      <w:r w:rsidRPr="005359EB">
        <w:rPr>
          <w:rFonts w:ascii="Arial" w:hAnsi="Arial"/>
        </w:rPr>
        <w:tab/>
      </w:r>
      <w:r w:rsidRPr="005359EB">
        <w:rPr>
          <w:rFonts w:ascii="Arial" w:hAnsi="Arial"/>
          <w:u w:val="single"/>
        </w:rPr>
        <w:t>Agency</w:t>
      </w:r>
      <w:r w:rsidRPr="005359EB">
        <w:rPr>
          <w:rFonts w:ascii="Arial" w:hAnsi="Arial"/>
        </w:rPr>
        <w:tab/>
      </w:r>
      <w:r w:rsidRPr="005359EB">
        <w:rPr>
          <w:rFonts w:ascii="Arial" w:hAnsi="Arial"/>
        </w:rPr>
        <w:tab/>
      </w:r>
      <w:r w:rsidRPr="005359EB">
        <w:rPr>
          <w:rFonts w:ascii="Arial" w:hAnsi="Arial"/>
          <w:u w:val="single"/>
        </w:rPr>
        <w:t>GASB</w:t>
      </w:r>
    </w:p>
    <w:p w14:paraId="7F71E1E5" w14:textId="77777777" w:rsidR="00D5654E" w:rsidRPr="005359EB" w:rsidRDefault="00D5654E" w:rsidP="00D5654E">
      <w:pPr>
        <w:pStyle w:val="Footer"/>
        <w:tabs>
          <w:tab w:val="clear" w:pos="4320"/>
          <w:tab w:val="clear" w:pos="8640"/>
        </w:tabs>
        <w:rPr>
          <w:rFonts w:ascii="Arial" w:hAnsi="Arial"/>
        </w:rPr>
      </w:pPr>
    </w:p>
    <w:p w14:paraId="4EF413DD" w14:textId="77777777" w:rsidR="00D5654E" w:rsidRPr="005359EB" w:rsidRDefault="00D5654E" w:rsidP="00D5654E">
      <w:pPr>
        <w:pStyle w:val="Footer"/>
        <w:tabs>
          <w:tab w:val="clear" w:pos="4320"/>
          <w:tab w:val="clear" w:pos="8640"/>
        </w:tabs>
        <w:rPr>
          <w:rFonts w:ascii="Arial" w:hAnsi="Arial"/>
        </w:rPr>
      </w:pPr>
      <w:r w:rsidRPr="005359EB">
        <w:rPr>
          <w:rFonts w:ascii="Arial" w:hAnsi="Arial"/>
        </w:rPr>
        <w:t>Motor Fleet Management</w:t>
      </w:r>
      <w:r w:rsidRPr="005359EB">
        <w:rPr>
          <w:rFonts w:ascii="Arial" w:hAnsi="Arial"/>
        </w:rPr>
        <w:tab/>
        <w:t xml:space="preserve">   13</w:t>
      </w:r>
      <w:r w:rsidRPr="005359EB">
        <w:rPr>
          <w:rFonts w:ascii="Arial" w:hAnsi="Arial"/>
        </w:rPr>
        <w:tab/>
      </w:r>
      <w:r w:rsidRPr="005359EB">
        <w:rPr>
          <w:rFonts w:ascii="Arial" w:hAnsi="Arial"/>
        </w:rPr>
        <w:tab/>
        <w:t>2714</w:t>
      </w:r>
    </w:p>
    <w:p w14:paraId="04AAE0ED" w14:textId="77777777" w:rsidR="00D5654E" w:rsidRPr="005359EB" w:rsidRDefault="00D5654E" w:rsidP="00D5654E">
      <w:pPr>
        <w:rPr>
          <w:rFonts w:ascii="Arial" w:hAnsi="Arial"/>
        </w:rPr>
      </w:pPr>
      <w:smartTag w:uri="urn:schemas-microsoft-com:office:smarttags" w:element="place">
        <w:smartTag w:uri="urn:schemas-microsoft-com:office:smarttags" w:element="PlaceType">
          <w:r w:rsidRPr="005359EB">
            <w:rPr>
              <w:rFonts w:ascii="Arial" w:hAnsi="Arial"/>
            </w:rPr>
            <w:t>State</w:t>
          </w:r>
        </w:smartTag>
        <w:r w:rsidRPr="005359EB">
          <w:rPr>
            <w:rFonts w:ascii="Arial" w:hAnsi="Arial"/>
          </w:rPr>
          <w:t xml:space="preserve"> </w:t>
        </w:r>
        <w:smartTag w:uri="urn:schemas-microsoft-com:office:smarttags" w:element="PlaceName">
          <w:r w:rsidRPr="005359EB">
            <w:rPr>
              <w:rFonts w:ascii="Arial" w:hAnsi="Arial"/>
            </w:rPr>
            <w:t>Computer</w:t>
          </w:r>
        </w:smartTag>
        <w:r w:rsidRPr="005359EB">
          <w:rPr>
            <w:rFonts w:ascii="Arial" w:hAnsi="Arial"/>
          </w:rPr>
          <w:t xml:space="preserve"> </w:t>
        </w:r>
        <w:smartTag w:uri="urn:schemas-microsoft-com:office:smarttags" w:element="PlaceType">
          <w:r w:rsidRPr="005359EB">
            <w:rPr>
              <w:rFonts w:ascii="Arial" w:hAnsi="Arial"/>
            </w:rPr>
            <w:t>Center</w:t>
          </w:r>
        </w:smartTag>
      </w:smartTag>
      <w:r w:rsidRPr="005359EB">
        <w:rPr>
          <w:rFonts w:ascii="Arial" w:hAnsi="Arial"/>
        </w:rPr>
        <w:tab/>
      </w:r>
      <w:r w:rsidRPr="005359EB">
        <w:rPr>
          <w:rFonts w:ascii="Arial" w:hAnsi="Arial"/>
        </w:rPr>
        <w:tab/>
        <w:t xml:space="preserve">   41</w:t>
      </w:r>
      <w:r w:rsidRPr="005359EB">
        <w:rPr>
          <w:rFonts w:ascii="Arial" w:hAnsi="Arial"/>
        </w:rPr>
        <w:tab/>
      </w:r>
      <w:r w:rsidRPr="005359EB">
        <w:rPr>
          <w:rFonts w:ascii="Arial" w:hAnsi="Arial"/>
        </w:rPr>
        <w:tab/>
        <w:t>2730</w:t>
      </w:r>
    </w:p>
    <w:p w14:paraId="2A839D32" w14:textId="77777777" w:rsidR="00D5654E" w:rsidRDefault="00D5654E" w:rsidP="00D5654E">
      <w:pPr>
        <w:rPr>
          <w:rFonts w:ascii="Arial" w:hAnsi="Arial"/>
        </w:rPr>
      </w:pPr>
      <w:r w:rsidRPr="005359EB">
        <w:rPr>
          <w:rFonts w:ascii="Arial" w:hAnsi="Arial"/>
        </w:rPr>
        <w:lastRenderedPageBreak/>
        <w:t>State Telecommunications</w:t>
      </w:r>
      <w:r>
        <w:tab/>
      </w:r>
      <w:r w:rsidRPr="005359EB">
        <w:rPr>
          <w:rFonts w:ascii="Arial" w:hAnsi="Arial"/>
        </w:rPr>
        <w:t xml:space="preserve">   41</w:t>
      </w:r>
      <w:r>
        <w:tab/>
      </w:r>
      <w:r>
        <w:tab/>
      </w:r>
      <w:r w:rsidRPr="005359EB">
        <w:rPr>
          <w:rFonts w:ascii="Arial" w:hAnsi="Arial"/>
        </w:rPr>
        <w:t>2731</w:t>
      </w:r>
    </w:p>
    <w:p w14:paraId="35EADF55" w14:textId="77777777" w:rsidR="00D5654E" w:rsidRDefault="00D5654E">
      <w:pPr>
        <w:rPr>
          <w:rFonts w:ascii="Arial" w:hAnsi="Arial"/>
          <w:b/>
        </w:rPr>
      </w:pPr>
    </w:p>
    <w:p w14:paraId="467198E9" w14:textId="4776DC36" w:rsidR="004E46A3" w:rsidRDefault="00163A27">
      <w:pPr>
        <w:rPr>
          <w:rFonts w:ascii="Arial" w:hAnsi="Arial"/>
          <w:b/>
        </w:rPr>
      </w:pPr>
      <w:r>
        <w:rPr>
          <w:rFonts w:ascii="Arial" w:hAnsi="Arial"/>
          <w:b/>
        </w:rPr>
        <w:t>Refer to the OSC website</w:t>
      </w:r>
      <w:r w:rsidR="004E46A3">
        <w:rPr>
          <w:rFonts w:ascii="Arial" w:hAnsi="Arial"/>
          <w:b/>
        </w:rPr>
        <w:t xml:space="preserve"> for a list of detailed </w:t>
      </w:r>
      <w:r w:rsidR="004E46A3" w:rsidRPr="183A77B5">
        <w:rPr>
          <w:rFonts w:ascii="Arial" w:hAnsi="Arial"/>
          <w:b/>
          <w:bCs/>
        </w:rPr>
        <w:t>NC</w:t>
      </w:r>
      <w:r w:rsidR="049DBB56" w:rsidRPr="183A77B5">
        <w:rPr>
          <w:rFonts w:ascii="Arial" w:hAnsi="Arial"/>
          <w:b/>
          <w:bCs/>
        </w:rPr>
        <w:t>F</w:t>
      </w:r>
      <w:r w:rsidR="004E46A3" w:rsidRPr="183A77B5">
        <w:rPr>
          <w:rFonts w:ascii="Arial" w:hAnsi="Arial"/>
          <w:b/>
          <w:bCs/>
        </w:rPr>
        <w:t>S</w:t>
      </w:r>
      <w:r w:rsidR="004E46A3">
        <w:rPr>
          <w:rFonts w:ascii="Arial" w:hAnsi="Arial"/>
          <w:b/>
        </w:rPr>
        <w:t xml:space="preserve"> accounts for interfund receivables and payables.</w:t>
      </w:r>
    </w:p>
    <w:p w14:paraId="0F03FCF0" w14:textId="77777777" w:rsidR="004E46A3" w:rsidRDefault="004E46A3">
      <w:pPr>
        <w:rPr>
          <w:rFonts w:ascii="Arial" w:hAnsi="Arial"/>
          <w:u w:val="single"/>
        </w:rPr>
      </w:pPr>
    </w:p>
    <w:p w14:paraId="270B31F2" w14:textId="47FC61F3" w:rsidR="004E46A3" w:rsidRDefault="004E46A3">
      <w:pPr>
        <w:rPr>
          <w:rFonts w:ascii="Arial" w:hAnsi="Arial"/>
          <w:b/>
          <w:bCs/>
          <w:u w:val="single"/>
        </w:rPr>
      </w:pPr>
      <w:r>
        <w:rPr>
          <w:rFonts w:ascii="Arial" w:hAnsi="Arial"/>
          <w:b/>
          <w:bCs/>
          <w:u w:val="single"/>
        </w:rPr>
        <w:t>Interfund Loans</w:t>
      </w:r>
    </w:p>
    <w:p w14:paraId="7387D193" w14:textId="77777777" w:rsidR="004E46A3" w:rsidRDefault="004E46A3">
      <w:pPr>
        <w:rPr>
          <w:rFonts w:ascii="Arial" w:hAnsi="Arial"/>
          <w:u w:val="single"/>
        </w:rPr>
      </w:pPr>
    </w:p>
    <w:p w14:paraId="3C7FEB3D" w14:textId="4FEFE795" w:rsidR="004E46A3" w:rsidRDefault="004E46A3" w:rsidP="00B34C00">
      <w:pPr>
        <w:rPr>
          <w:rFonts w:ascii="Arial" w:hAnsi="Arial"/>
        </w:rPr>
      </w:pPr>
      <w:r>
        <w:rPr>
          <w:rFonts w:ascii="Arial" w:hAnsi="Arial"/>
        </w:rPr>
        <w:t>If any balances reported on worksheets 50</w:t>
      </w:r>
      <w:r w:rsidR="00F045C3">
        <w:rPr>
          <w:rFonts w:ascii="Arial" w:hAnsi="Arial"/>
        </w:rPr>
        <w:t>2</w:t>
      </w:r>
      <w:r>
        <w:rPr>
          <w:rFonts w:ascii="Arial" w:hAnsi="Arial"/>
        </w:rPr>
        <w:t xml:space="preserve"> through 530 represent interfund loans, submi</w:t>
      </w:r>
      <w:r w:rsidR="00B34C00">
        <w:rPr>
          <w:rFonts w:ascii="Arial" w:hAnsi="Arial"/>
        </w:rPr>
        <w:t>t</w:t>
      </w:r>
      <w:r>
        <w:rPr>
          <w:rFonts w:ascii="Arial" w:hAnsi="Arial"/>
        </w:rPr>
        <w:t xml:space="preserve"> an explanation of the loan</w:t>
      </w:r>
      <w:r w:rsidR="00B34C00">
        <w:rPr>
          <w:rFonts w:ascii="Arial" w:hAnsi="Arial"/>
        </w:rPr>
        <w:t xml:space="preserve">. </w:t>
      </w:r>
      <w:r>
        <w:rPr>
          <w:rFonts w:ascii="Arial" w:hAnsi="Arial"/>
        </w:rPr>
        <w:t>An interfund loan is an amount provided between funds and blended component units of the primary government with a requirement for repayment.  The portion of an advance that is due within one year is recorded as an interfund loan.</w:t>
      </w:r>
    </w:p>
    <w:p w14:paraId="1270604D" w14:textId="77777777" w:rsidR="00C25702" w:rsidRDefault="00C25702">
      <w:pPr>
        <w:pStyle w:val="BodyText3"/>
        <w:spacing w:line="240" w:lineRule="auto"/>
        <w:rPr>
          <w:rFonts w:ascii="Arial" w:hAnsi="Arial"/>
          <w:caps w:val="0"/>
        </w:rPr>
      </w:pPr>
    </w:p>
    <w:p w14:paraId="4FC7BCDE" w14:textId="7E4E34FF" w:rsidR="05CBCE02" w:rsidRDefault="05CBCE02" w:rsidP="009EA386">
      <w:pPr>
        <w:rPr>
          <w:rFonts w:ascii="Arial" w:hAnsi="Arial"/>
        </w:rPr>
      </w:pPr>
    </w:p>
    <w:p w14:paraId="63754DF5" w14:textId="163017D6" w:rsidR="05CBCE02" w:rsidRDefault="05CBCE02" w:rsidP="009EA386">
      <w:pPr>
        <w:rPr>
          <w:rFonts w:ascii="Arial" w:hAnsi="Arial"/>
          <w:b/>
          <w:bCs/>
          <w:smallCaps/>
          <w:sz w:val="24"/>
          <w:szCs w:val="24"/>
          <w:u w:val="single"/>
        </w:rPr>
      </w:pPr>
      <w:r w:rsidRPr="009EA386">
        <w:rPr>
          <w:rFonts w:ascii="Arial" w:hAnsi="Arial"/>
          <w:b/>
          <w:bCs/>
          <w:smallCaps/>
          <w:sz w:val="24"/>
          <w:szCs w:val="24"/>
          <w:u w:val="single"/>
        </w:rPr>
        <w:t>Schedules Of DUE TO/FROM SUMMARY EXPLANATIONS (50</w:t>
      </w:r>
      <w:r w:rsidR="0EE89A03" w:rsidRPr="009EA386">
        <w:rPr>
          <w:rFonts w:ascii="Arial" w:hAnsi="Arial"/>
          <w:b/>
          <w:bCs/>
          <w:smallCaps/>
          <w:sz w:val="24"/>
          <w:szCs w:val="24"/>
          <w:u w:val="single"/>
        </w:rPr>
        <w:t>2</w:t>
      </w:r>
      <w:r w:rsidRPr="009EA386">
        <w:rPr>
          <w:rFonts w:ascii="Arial" w:hAnsi="Arial"/>
          <w:b/>
          <w:bCs/>
          <w:smallCaps/>
          <w:sz w:val="24"/>
          <w:szCs w:val="24"/>
          <w:u w:val="single"/>
        </w:rPr>
        <w:t>)</w:t>
      </w:r>
    </w:p>
    <w:p w14:paraId="7269DB25" w14:textId="77777777" w:rsidR="00F064E6" w:rsidRDefault="00F064E6">
      <w:pPr>
        <w:pStyle w:val="BodyText2"/>
        <w:spacing w:line="240" w:lineRule="auto"/>
        <w:rPr>
          <w:rFonts w:ascii="Arial" w:hAnsi="Arial"/>
          <w:b/>
          <w:szCs w:val="24"/>
          <w:u w:val="single"/>
        </w:rPr>
      </w:pPr>
    </w:p>
    <w:p w14:paraId="2C0BCCBA" w14:textId="57322E1C" w:rsidR="077CCDA2" w:rsidRDefault="077CCDA2" w:rsidP="009EA386">
      <w:pPr>
        <w:rPr>
          <w:rFonts w:ascii="Arial" w:hAnsi="Arial"/>
        </w:rPr>
      </w:pPr>
      <w:r w:rsidRPr="009EA386">
        <w:rPr>
          <w:rFonts w:ascii="Arial" w:hAnsi="Arial"/>
        </w:rPr>
        <w:t>This worksheet must be completed if the following NC</w:t>
      </w:r>
      <w:r w:rsidR="4156ED49" w:rsidRPr="009EA386">
        <w:rPr>
          <w:rFonts w:ascii="Arial" w:hAnsi="Arial"/>
        </w:rPr>
        <w:t>F</w:t>
      </w:r>
      <w:r w:rsidRPr="009EA386">
        <w:rPr>
          <w:rFonts w:ascii="Arial" w:hAnsi="Arial"/>
        </w:rPr>
        <w:t>S accounts are used:</w:t>
      </w:r>
    </w:p>
    <w:p w14:paraId="1DD7B793" w14:textId="77777777" w:rsidR="009EA386" w:rsidRDefault="009EA386" w:rsidP="009EA386">
      <w:pPr>
        <w:pStyle w:val="Footer"/>
        <w:tabs>
          <w:tab w:val="clear" w:pos="4320"/>
          <w:tab w:val="clear" w:pos="8640"/>
        </w:tabs>
        <w:rPr>
          <w:rFonts w:ascii="Arial" w:hAnsi="Arial"/>
        </w:rPr>
      </w:pPr>
    </w:p>
    <w:p w14:paraId="12682FD8" w14:textId="211F5DCF" w:rsidR="077CCDA2" w:rsidRDefault="077CCDA2" w:rsidP="009EA386">
      <w:pPr>
        <w:rPr>
          <w:rFonts w:ascii="Arial" w:hAnsi="Arial"/>
        </w:rPr>
      </w:pPr>
      <w:r w:rsidRPr="009EA386">
        <w:rPr>
          <w:rFonts w:ascii="Arial" w:hAnsi="Arial"/>
        </w:rPr>
        <w:t>11431000-11432100</w:t>
      </w:r>
      <w:r>
        <w:tab/>
      </w:r>
      <w:r w:rsidR="0FD6A342" w:rsidRPr="12EDF0A1">
        <w:rPr>
          <w:rFonts w:ascii="Arial" w:hAnsi="Arial"/>
        </w:rPr>
        <w:t xml:space="preserve">            </w:t>
      </w:r>
      <w:r w:rsidRPr="009EA386">
        <w:rPr>
          <w:rFonts w:ascii="Arial" w:hAnsi="Arial"/>
        </w:rPr>
        <w:t>General Government Intra-Agency Receivables</w:t>
      </w:r>
    </w:p>
    <w:p w14:paraId="6E6BC081" w14:textId="2CA3AAAB" w:rsidR="077CCDA2" w:rsidRDefault="077CCDA2" w:rsidP="009EA386">
      <w:pPr>
        <w:rPr>
          <w:rFonts w:ascii="Arial" w:hAnsi="Arial"/>
        </w:rPr>
      </w:pPr>
      <w:r w:rsidRPr="009EA386">
        <w:rPr>
          <w:rFonts w:ascii="Arial" w:hAnsi="Arial"/>
        </w:rPr>
        <w:t>21231000-21232100</w:t>
      </w:r>
      <w:r>
        <w:tab/>
      </w:r>
      <w:r w:rsidR="16E747AE" w:rsidRPr="12EDF0A1">
        <w:rPr>
          <w:rFonts w:ascii="Arial" w:hAnsi="Arial"/>
        </w:rPr>
        <w:t xml:space="preserve">            </w:t>
      </w:r>
      <w:r w:rsidRPr="009EA386">
        <w:rPr>
          <w:rFonts w:ascii="Arial" w:hAnsi="Arial"/>
        </w:rPr>
        <w:t>General Government Intra-Agency Payables</w:t>
      </w:r>
    </w:p>
    <w:p w14:paraId="777E1ACF" w14:textId="059220B4" w:rsidR="009EA386" w:rsidRDefault="009EA386" w:rsidP="009EA386">
      <w:pPr>
        <w:rPr>
          <w:rFonts w:ascii="Arial" w:hAnsi="Arial"/>
        </w:rPr>
      </w:pPr>
    </w:p>
    <w:p w14:paraId="324D51B2" w14:textId="23412D59" w:rsidR="7CE0D084" w:rsidRDefault="7CE0D084" w:rsidP="009EA386">
      <w:pPr>
        <w:rPr>
          <w:rFonts w:ascii="Arial" w:hAnsi="Arial"/>
        </w:rPr>
      </w:pPr>
      <w:r w:rsidRPr="009EA386">
        <w:rPr>
          <w:rFonts w:ascii="Arial" w:hAnsi="Arial"/>
        </w:rPr>
        <w:t>This worksheet certifies that the Due To/From Contact at the agency or the CFO has reviewed all due from and due to listed for their agency and all distribu</w:t>
      </w:r>
      <w:r w:rsidR="08A59909" w:rsidRPr="009EA386">
        <w:rPr>
          <w:rFonts w:ascii="Arial" w:hAnsi="Arial"/>
        </w:rPr>
        <w:t xml:space="preserve">tions and tabs are accurately completed. </w:t>
      </w:r>
      <w:r w:rsidR="24BB38EF" w:rsidRPr="009EA386">
        <w:rPr>
          <w:rFonts w:ascii="Arial" w:hAnsi="Arial"/>
        </w:rPr>
        <w:t>There should be a matching distribution for each due from and due to at your agency. All distributions must have an appropriate interfund value</w:t>
      </w:r>
      <w:r w:rsidR="47A1FA2F" w:rsidRPr="009EA386">
        <w:rPr>
          <w:rFonts w:ascii="Arial" w:hAnsi="Arial"/>
        </w:rPr>
        <w:t xml:space="preserve"> with no line having the default interfund value of 000000. </w:t>
      </w:r>
    </w:p>
    <w:p w14:paraId="5D8962D0" w14:textId="5A076D78" w:rsidR="009EA386" w:rsidRDefault="009EA386" w:rsidP="009EA386">
      <w:pPr>
        <w:rPr>
          <w:rFonts w:ascii="Arial" w:hAnsi="Arial"/>
        </w:rPr>
      </w:pPr>
    </w:p>
    <w:p w14:paraId="515E9C98" w14:textId="38C52E6E" w:rsidR="3B4CBDA7" w:rsidRDefault="42BE1EC2" w:rsidP="009EA386">
      <w:pPr>
        <w:rPr>
          <w:rFonts w:ascii="Arial" w:hAnsi="Arial"/>
        </w:rPr>
      </w:pPr>
      <w:r w:rsidRPr="12EDF0A1">
        <w:rPr>
          <w:rFonts w:ascii="Arial" w:hAnsi="Arial"/>
        </w:rPr>
        <w:t>Run the NCFS NC GASB Due To and From Reconciliation report (RPT 169) and l</w:t>
      </w:r>
      <w:r w:rsidR="3B4CBDA7" w:rsidRPr="12EDF0A1">
        <w:rPr>
          <w:rFonts w:ascii="Arial" w:hAnsi="Arial"/>
        </w:rPr>
        <w:t xml:space="preserve">ist any identified </w:t>
      </w:r>
      <w:r w:rsidR="6AD66A73" w:rsidRPr="12EDF0A1">
        <w:rPr>
          <w:rFonts w:ascii="Arial" w:hAnsi="Arial"/>
        </w:rPr>
        <w:t>unmatched items on RPT 169</w:t>
      </w:r>
      <w:r w:rsidR="640CCF8E" w:rsidRPr="12EDF0A1">
        <w:rPr>
          <w:rFonts w:ascii="Arial" w:hAnsi="Arial"/>
        </w:rPr>
        <w:t xml:space="preserve">, that </w:t>
      </w:r>
      <w:r w:rsidR="1B7707CA" w:rsidRPr="12EDF0A1">
        <w:rPr>
          <w:rFonts w:ascii="Arial" w:hAnsi="Arial"/>
        </w:rPr>
        <w:t>are not related to Worksheet 525 (Schedule of Due From / Restricted Due From State of NC Component Units)</w:t>
      </w:r>
      <w:r w:rsidR="769FEBDE" w:rsidRPr="12EDF0A1">
        <w:rPr>
          <w:rFonts w:ascii="Arial" w:hAnsi="Arial"/>
        </w:rPr>
        <w:t xml:space="preserve"> or Worksheet 530 (Schedule of Due To State of NC Component Units)</w:t>
      </w:r>
      <w:r w:rsidR="02C5EFF0" w:rsidRPr="12EDF0A1">
        <w:rPr>
          <w:rFonts w:ascii="Arial" w:hAnsi="Arial"/>
        </w:rPr>
        <w:t>,</w:t>
      </w:r>
      <w:r w:rsidR="769FEBDE" w:rsidRPr="12EDF0A1">
        <w:rPr>
          <w:rFonts w:ascii="Arial" w:hAnsi="Arial"/>
        </w:rPr>
        <w:t xml:space="preserve"> that </w:t>
      </w:r>
      <w:r w:rsidR="640CCF8E" w:rsidRPr="12EDF0A1">
        <w:rPr>
          <w:rFonts w:ascii="Arial" w:hAnsi="Arial"/>
        </w:rPr>
        <w:t>could not be reconciled due to extenuating circumstances</w:t>
      </w:r>
      <w:r w:rsidR="777298EE" w:rsidRPr="12EDF0A1">
        <w:rPr>
          <w:rFonts w:ascii="Arial" w:hAnsi="Arial"/>
        </w:rPr>
        <w:t>,</w:t>
      </w:r>
      <w:r w:rsidR="640CCF8E" w:rsidRPr="12EDF0A1">
        <w:rPr>
          <w:rFonts w:ascii="Arial" w:hAnsi="Arial"/>
        </w:rPr>
        <w:t xml:space="preserve"> or that have valid exceptions. </w:t>
      </w:r>
      <w:r w:rsidR="47A1FA2F" w:rsidRPr="009EA386">
        <w:rPr>
          <w:rFonts w:ascii="Arial" w:hAnsi="Arial"/>
        </w:rPr>
        <w:t xml:space="preserve">If there </w:t>
      </w:r>
      <w:r w:rsidR="06C3E125" w:rsidRPr="009EA386">
        <w:rPr>
          <w:rFonts w:ascii="Arial" w:hAnsi="Arial"/>
        </w:rPr>
        <w:t>are any mismatches listed on this worksheet</w:t>
      </w:r>
      <w:r w:rsidR="04BA5CF6" w:rsidRPr="009EA386">
        <w:rPr>
          <w:rFonts w:ascii="Arial" w:hAnsi="Arial"/>
        </w:rPr>
        <w:t xml:space="preserve"> due to </w:t>
      </w:r>
      <w:r w:rsidR="1FD4F7AC" w:rsidRPr="12EDF0A1">
        <w:rPr>
          <w:rFonts w:ascii="Arial" w:hAnsi="Arial"/>
        </w:rPr>
        <w:t>extenuating</w:t>
      </w:r>
      <w:r w:rsidR="04BA5CF6" w:rsidRPr="009EA386">
        <w:rPr>
          <w:rFonts w:ascii="Arial" w:hAnsi="Arial"/>
        </w:rPr>
        <w:t xml:space="preserve"> circumstances</w:t>
      </w:r>
      <w:r w:rsidR="2E9ACDC9" w:rsidRPr="12EDF0A1">
        <w:rPr>
          <w:rFonts w:ascii="Arial" w:hAnsi="Arial"/>
        </w:rPr>
        <w:t xml:space="preserve"> or valid exceptions</w:t>
      </w:r>
      <w:r w:rsidR="06C3E125" w:rsidRPr="009EA386">
        <w:rPr>
          <w:rFonts w:ascii="Arial" w:hAnsi="Arial"/>
        </w:rPr>
        <w:t>, the OSC analyst as well as the reciprocal agency contact must be notified</w:t>
      </w:r>
      <w:r w:rsidR="5AEAC394" w:rsidRPr="009EA386">
        <w:rPr>
          <w:rFonts w:ascii="Arial" w:hAnsi="Arial"/>
        </w:rPr>
        <w:t>, and OSC must approve these items prior to submitting your ACFR package</w:t>
      </w:r>
      <w:r w:rsidR="06C3E125" w:rsidRPr="009EA386">
        <w:rPr>
          <w:rFonts w:ascii="Arial" w:hAnsi="Arial"/>
        </w:rPr>
        <w:t>.</w:t>
      </w:r>
      <w:r w:rsidR="7802EE66" w:rsidRPr="12EDF0A1">
        <w:rPr>
          <w:rFonts w:ascii="Arial" w:hAnsi="Arial"/>
        </w:rPr>
        <w:t xml:space="preserve"> Please explain on this worksheet the purpose of the due to or due from accounts listed on this worksheet a</w:t>
      </w:r>
      <w:r w:rsidR="3A1EAA9C" w:rsidRPr="12EDF0A1">
        <w:rPr>
          <w:rFonts w:ascii="Arial" w:hAnsi="Arial"/>
        </w:rPr>
        <w:t>nd use the explanation tab if additional space is required.</w:t>
      </w:r>
    </w:p>
    <w:p w14:paraId="5C471A8A" w14:textId="77777777" w:rsidR="00D5654E" w:rsidRDefault="00D5654E" w:rsidP="009EA386">
      <w:pPr>
        <w:rPr>
          <w:rFonts w:ascii="Arial" w:hAnsi="Arial"/>
        </w:rPr>
      </w:pPr>
    </w:p>
    <w:p w14:paraId="0AE5CBFA" w14:textId="00761C57" w:rsidR="00D5654E" w:rsidRPr="00D5654E" w:rsidRDefault="00D5654E" w:rsidP="00D5654E">
      <w:pPr>
        <w:ind w:right="150"/>
        <w:textAlignment w:val="baseline"/>
        <w:rPr>
          <w:rFonts w:ascii="Segoe UI" w:hAnsi="Segoe UI" w:cs="Segoe UI"/>
        </w:rPr>
      </w:pPr>
      <w:r w:rsidRPr="00D5654E">
        <w:rPr>
          <w:rFonts w:ascii="Arial" w:hAnsi="Arial" w:cs="Arial"/>
        </w:rPr>
        <w:t xml:space="preserve">Also, if an </w:t>
      </w:r>
      <w:r>
        <w:rPr>
          <w:rFonts w:ascii="Arial" w:hAnsi="Arial" w:cs="Arial"/>
        </w:rPr>
        <w:t xml:space="preserve">NCFS </w:t>
      </w:r>
      <w:r w:rsidRPr="00D5654E">
        <w:rPr>
          <w:rFonts w:ascii="Arial" w:hAnsi="Arial" w:cs="Arial"/>
        </w:rPr>
        <w:t xml:space="preserve">agency has an interfund balance with an offline entity, </w:t>
      </w:r>
      <w:r>
        <w:rPr>
          <w:rFonts w:ascii="Arial" w:hAnsi="Arial" w:cs="Arial"/>
        </w:rPr>
        <w:t xml:space="preserve">please utilize the following </w:t>
      </w:r>
      <w:proofErr w:type="spellStart"/>
      <w:r>
        <w:rPr>
          <w:rFonts w:ascii="Arial" w:hAnsi="Arial" w:cs="Arial"/>
        </w:rPr>
        <w:t>interfunds</w:t>
      </w:r>
      <w:proofErr w:type="spellEnd"/>
      <w:r>
        <w:rPr>
          <w:rFonts w:ascii="Arial" w:hAnsi="Arial" w:cs="Arial"/>
        </w:rPr>
        <w:t xml:space="preserve"> for those offline entities.  Note: </w:t>
      </w:r>
      <w:r w:rsidR="67292AD3" w:rsidRPr="781459E6">
        <w:rPr>
          <w:rFonts w:ascii="Arial" w:hAnsi="Arial" w:cs="Arial"/>
        </w:rPr>
        <w:t>(</w:t>
      </w:r>
      <w:proofErr w:type="gramStart"/>
      <w:r>
        <w:rPr>
          <w:rFonts w:ascii="Arial" w:hAnsi="Arial" w:cs="Arial"/>
        </w:rPr>
        <w:t>t</w:t>
      </w:r>
      <w:r w:rsidRPr="00D5654E">
        <w:rPr>
          <w:rFonts w:ascii="Arial" w:hAnsi="Arial" w:cs="Arial"/>
        </w:rPr>
        <w:t>hese budget</w:t>
      </w:r>
      <w:proofErr w:type="gramEnd"/>
      <w:r w:rsidRPr="00D5654E">
        <w:rPr>
          <w:rFonts w:ascii="Arial" w:hAnsi="Arial" w:cs="Arial"/>
        </w:rPr>
        <w:t xml:space="preserve"> funds listed below are associated with agency 1400 and with budget code 14160): </w:t>
      </w:r>
    </w:p>
    <w:p w14:paraId="0CAA5264" w14:textId="77777777" w:rsidR="00D5654E" w:rsidRDefault="00D5654E" w:rsidP="00D5654E">
      <w:pPr>
        <w:ind w:right="150"/>
        <w:textAlignment w:val="baseline"/>
        <w:rPr>
          <w:rFonts w:ascii="Arial" w:hAnsi="Arial" w:cs="Arial"/>
          <w:sz w:val="22"/>
          <w:szCs w:val="22"/>
        </w:rPr>
      </w:pPr>
    </w:p>
    <w:p w14:paraId="2CCEF79C" w14:textId="6E104090" w:rsidR="00D5654E" w:rsidRPr="00D5654E" w:rsidRDefault="00D5654E" w:rsidP="00D5654E">
      <w:pPr>
        <w:ind w:right="150"/>
        <w:textAlignment w:val="baseline"/>
        <w:rPr>
          <w:rFonts w:ascii="Segoe UI" w:hAnsi="Segoe UI" w:cs="Segoe UI"/>
          <w:sz w:val="18"/>
          <w:szCs w:val="18"/>
        </w:rPr>
      </w:pPr>
      <w:r>
        <w:rPr>
          <w:noProof/>
        </w:rPr>
        <w:drawing>
          <wp:inline distT="0" distB="0" distL="0" distR="0" wp14:anchorId="0089C456" wp14:editId="1C5EA95D">
            <wp:extent cx="5943600" cy="2423160"/>
            <wp:effectExtent l="0" t="0" r="0" b="0"/>
            <wp:docPr id="1209578404"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78404" name="Picture 1" descr="Graphical user interface, text&#10;&#10;Description automatically generated with medium confidence"/>
                    <pic:cNvPicPr/>
                  </pic:nvPicPr>
                  <pic:blipFill>
                    <a:blip r:embed="rId23"/>
                    <a:stretch>
                      <a:fillRect/>
                    </a:stretch>
                  </pic:blipFill>
                  <pic:spPr>
                    <a:xfrm>
                      <a:off x="0" y="0"/>
                      <a:ext cx="5943600" cy="2423160"/>
                    </a:xfrm>
                    <a:prstGeom prst="rect">
                      <a:avLst/>
                    </a:prstGeom>
                  </pic:spPr>
                </pic:pic>
              </a:graphicData>
            </a:graphic>
          </wp:inline>
        </w:drawing>
      </w:r>
      <w:r w:rsidRPr="00D5654E">
        <w:rPr>
          <w:rFonts w:ascii="Arial" w:hAnsi="Arial" w:cs="Arial"/>
          <w:sz w:val="22"/>
          <w:szCs w:val="22"/>
        </w:rPr>
        <w:t> </w:t>
      </w:r>
    </w:p>
    <w:p w14:paraId="3183676F" w14:textId="5DE57E74" w:rsidR="009EA386" w:rsidRDefault="009EA386" w:rsidP="009EA386">
      <w:pPr>
        <w:pStyle w:val="BodyText2"/>
        <w:spacing w:line="240" w:lineRule="auto"/>
        <w:rPr>
          <w:rFonts w:ascii="Arial" w:hAnsi="Arial"/>
          <w:b/>
          <w:bCs/>
          <w:smallCaps/>
          <w:u w:val="single"/>
        </w:rPr>
      </w:pPr>
    </w:p>
    <w:p w14:paraId="62091A58" w14:textId="3E7C7A7D" w:rsidR="004E46A3" w:rsidRPr="009C64CC" w:rsidRDefault="000F3810">
      <w:pPr>
        <w:pStyle w:val="BodyText2"/>
        <w:spacing w:line="240" w:lineRule="auto"/>
        <w:rPr>
          <w:rFonts w:ascii="Arial" w:hAnsi="Arial"/>
          <w:b/>
          <w:smallCaps/>
          <w:u w:val="single"/>
        </w:rPr>
      </w:pPr>
      <w:r w:rsidRPr="009C64CC">
        <w:rPr>
          <w:rFonts w:ascii="Arial" w:hAnsi="Arial"/>
          <w:b/>
          <w:smallCaps/>
          <w:u w:val="single"/>
        </w:rPr>
        <w:t>Schedules Of Inter-Agency Receivables And Payables (505-510)</w:t>
      </w:r>
    </w:p>
    <w:p w14:paraId="12447E35" w14:textId="77777777" w:rsidR="004E46A3" w:rsidRDefault="004E46A3">
      <w:pPr>
        <w:rPr>
          <w:rFonts w:ascii="Arial" w:hAnsi="Arial"/>
        </w:rPr>
      </w:pPr>
    </w:p>
    <w:p w14:paraId="64CC3936" w14:textId="6A5BA80C" w:rsidR="6DDA76B6" w:rsidRDefault="6DDA76B6" w:rsidP="009EA386">
      <w:pPr>
        <w:rPr>
          <w:rFonts w:ascii="Arial" w:hAnsi="Arial"/>
          <w:b/>
          <w:bCs/>
          <w:i/>
          <w:iCs/>
          <w:color w:val="FF0000"/>
        </w:rPr>
      </w:pPr>
      <w:r w:rsidRPr="009EA386">
        <w:rPr>
          <w:rFonts w:ascii="Arial" w:hAnsi="Arial"/>
        </w:rPr>
        <w:t>These worksheets are only applicable for the NC Battleship.</w:t>
      </w:r>
    </w:p>
    <w:p w14:paraId="71EA59A5" w14:textId="0DA172A6" w:rsidR="5BDE020C" w:rsidRDefault="5BDE020C" w:rsidP="5BDE020C">
      <w:pPr>
        <w:rPr>
          <w:rFonts w:ascii="Arial" w:hAnsi="Arial"/>
        </w:rPr>
      </w:pPr>
    </w:p>
    <w:p w14:paraId="070E012D" w14:textId="7E29A353" w:rsidR="2F729FD5" w:rsidRDefault="2F729FD5" w:rsidP="5BDE020C">
      <w:pPr>
        <w:rPr>
          <w:rFonts w:ascii="Arial" w:hAnsi="Arial"/>
        </w:rPr>
      </w:pPr>
      <w:r w:rsidRPr="5BDE020C">
        <w:rPr>
          <w:rFonts w:ascii="Arial" w:hAnsi="Arial"/>
        </w:rPr>
        <w:t xml:space="preserve">The $1,000,000 threshold on these worksheets should be applied in aggregate </w:t>
      </w:r>
      <w:r w:rsidRPr="5BDE020C">
        <w:rPr>
          <w:rFonts w:ascii="Arial" w:hAnsi="Arial"/>
          <w:b/>
          <w:bCs/>
        </w:rPr>
        <w:t>per Agency and per GASB</w:t>
      </w:r>
      <w:r w:rsidRPr="5BDE020C">
        <w:rPr>
          <w:rFonts w:ascii="Arial" w:hAnsi="Arial"/>
        </w:rPr>
        <w:t xml:space="preserve">.  Balances equal to or </w:t>
      </w:r>
      <w:proofErr w:type="gramStart"/>
      <w:r w:rsidRPr="5BDE020C">
        <w:rPr>
          <w:rFonts w:ascii="Arial" w:hAnsi="Arial"/>
        </w:rPr>
        <w:t>in excess of</w:t>
      </w:r>
      <w:proofErr w:type="gramEnd"/>
      <w:r w:rsidRPr="5BDE020C">
        <w:rPr>
          <w:rFonts w:ascii="Arial" w:hAnsi="Arial"/>
        </w:rPr>
        <w:t xml:space="preserve"> the threshold should be recorded as interfund balances in the appropriate account.</w:t>
      </w:r>
    </w:p>
    <w:p w14:paraId="388106FB" w14:textId="41415063" w:rsidR="009EA386" w:rsidRDefault="009EA386" w:rsidP="009EA386">
      <w:pPr>
        <w:rPr>
          <w:rFonts w:ascii="Arial" w:hAnsi="Arial"/>
        </w:rPr>
      </w:pPr>
    </w:p>
    <w:p w14:paraId="1F7434FC" w14:textId="7561FFA9" w:rsidR="00460698" w:rsidRDefault="47D0B389" w:rsidP="3B0B24AB">
      <w:pPr>
        <w:rPr>
          <w:rFonts w:ascii="Arial" w:hAnsi="Arial"/>
        </w:rPr>
      </w:pPr>
      <w:r w:rsidRPr="3B0B24AB">
        <w:rPr>
          <w:rFonts w:ascii="Arial" w:hAnsi="Arial"/>
        </w:rPr>
        <w:t>T</w:t>
      </w:r>
      <w:r w:rsidR="00460698" w:rsidRPr="3B0B24AB">
        <w:rPr>
          <w:rFonts w:ascii="Arial" w:hAnsi="Arial"/>
        </w:rPr>
        <w:t xml:space="preserve">here is NO threshold for inter-agency receivables and payables related to Coronavirus Funds. In the Comments section of each worksheet, all entities should indicate whether the inter-agency receivable or payable relates to (1) </w:t>
      </w:r>
      <w:r w:rsidR="00AF61F8" w:rsidRPr="3B0B24AB">
        <w:rPr>
          <w:rFonts w:ascii="Arial" w:hAnsi="Arial"/>
        </w:rPr>
        <w:t xml:space="preserve">CARES Act </w:t>
      </w:r>
      <w:r w:rsidR="00460698" w:rsidRPr="3B0B24AB">
        <w:rPr>
          <w:rFonts w:ascii="Arial" w:hAnsi="Arial"/>
        </w:rPr>
        <w:t xml:space="preserve">Coronavirus Relief Fund </w:t>
      </w:r>
      <w:r w:rsidR="00AF61F8" w:rsidRPr="3B0B24AB">
        <w:rPr>
          <w:rFonts w:ascii="Arial" w:hAnsi="Arial"/>
        </w:rPr>
        <w:t xml:space="preserve">(CRF) </w:t>
      </w:r>
      <w:r w:rsidR="00460698" w:rsidRPr="3B0B24AB">
        <w:rPr>
          <w:rFonts w:ascii="Arial" w:hAnsi="Arial"/>
        </w:rPr>
        <w:t>money</w:t>
      </w:r>
      <w:r w:rsidR="00872FFF" w:rsidRPr="3B0B24AB">
        <w:rPr>
          <w:rFonts w:ascii="Arial" w:hAnsi="Arial"/>
        </w:rPr>
        <w:t xml:space="preserve">, </w:t>
      </w:r>
      <w:r w:rsidR="00460698" w:rsidRPr="3B0B24AB">
        <w:rPr>
          <w:rFonts w:ascii="Arial" w:hAnsi="Arial"/>
        </w:rPr>
        <w:t xml:space="preserve">(2) </w:t>
      </w:r>
      <w:r w:rsidR="00872FFF" w:rsidRPr="3B0B24AB">
        <w:rPr>
          <w:rFonts w:ascii="Arial" w:hAnsi="Arial"/>
        </w:rPr>
        <w:t xml:space="preserve">American Rescue Plan </w:t>
      </w:r>
      <w:r w:rsidR="00AF61F8" w:rsidRPr="3B0B24AB">
        <w:rPr>
          <w:rFonts w:ascii="Arial" w:hAnsi="Arial"/>
        </w:rPr>
        <w:t xml:space="preserve">Act </w:t>
      </w:r>
      <w:r w:rsidR="00872FFF" w:rsidRPr="3B0B24AB">
        <w:rPr>
          <w:rFonts w:ascii="Arial" w:hAnsi="Arial"/>
        </w:rPr>
        <w:t>(ARP</w:t>
      </w:r>
      <w:r w:rsidR="00AF61F8" w:rsidRPr="3B0B24AB">
        <w:rPr>
          <w:rFonts w:ascii="Arial" w:hAnsi="Arial"/>
        </w:rPr>
        <w:t>A</w:t>
      </w:r>
      <w:r w:rsidR="00872FFF" w:rsidRPr="3B0B24AB">
        <w:rPr>
          <w:rFonts w:ascii="Arial" w:hAnsi="Arial"/>
        </w:rPr>
        <w:t>)</w:t>
      </w:r>
      <w:r w:rsidR="00AF61F8" w:rsidRPr="3B0B24AB">
        <w:rPr>
          <w:rFonts w:ascii="Arial" w:hAnsi="Arial"/>
        </w:rPr>
        <w:t xml:space="preserve"> </w:t>
      </w:r>
      <w:r w:rsidR="00872FFF" w:rsidRPr="3B0B24AB">
        <w:rPr>
          <w:rFonts w:ascii="Arial" w:hAnsi="Arial"/>
        </w:rPr>
        <w:t xml:space="preserve">State </w:t>
      </w:r>
      <w:r w:rsidR="00AF61F8" w:rsidRPr="3B0B24AB">
        <w:rPr>
          <w:rFonts w:ascii="Arial" w:hAnsi="Arial"/>
        </w:rPr>
        <w:t xml:space="preserve">and Local </w:t>
      </w:r>
      <w:r w:rsidR="00872FFF" w:rsidRPr="3B0B24AB">
        <w:rPr>
          <w:rFonts w:ascii="Arial" w:hAnsi="Arial"/>
        </w:rPr>
        <w:t>Fiscal Recovery Funds</w:t>
      </w:r>
      <w:r w:rsidR="00970320" w:rsidRPr="3B0B24AB">
        <w:rPr>
          <w:rFonts w:ascii="Arial" w:hAnsi="Arial"/>
        </w:rPr>
        <w:t xml:space="preserve"> (SLFRF) money</w:t>
      </w:r>
      <w:r w:rsidR="00872FFF" w:rsidRPr="3B0B24AB">
        <w:rPr>
          <w:rFonts w:ascii="Arial" w:hAnsi="Arial"/>
        </w:rPr>
        <w:t xml:space="preserve">, OR (3) </w:t>
      </w:r>
      <w:r w:rsidR="00460698" w:rsidRPr="3B0B24AB">
        <w:rPr>
          <w:rFonts w:ascii="Arial" w:hAnsi="Arial"/>
        </w:rPr>
        <w:t xml:space="preserve">other coronavirus funds. </w:t>
      </w:r>
    </w:p>
    <w:p w14:paraId="453769A0" w14:textId="77777777" w:rsidR="00460698" w:rsidRDefault="00460698" w:rsidP="3B0B24AB">
      <w:pPr>
        <w:rPr>
          <w:rFonts w:ascii="Arial" w:hAnsi="Arial"/>
        </w:rPr>
      </w:pPr>
    </w:p>
    <w:p w14:paraId="68AA81BB" w14:textId="1339D9EB" w:rsidR="004E46A3" w:rsidRDefault="004E46A3">
      <w:pPr>
        <w:rPr>
          <w:rFonts w:ascii="Arial" w:hAnsi="Arial"/>
        </w:rPr>
      </w:pPr>
      <w:r>
        <w:rPr>
          <w:rFonts w:ascii="Arial" w:hAnsi="Arial"/>
        </w:rPr>
        <w:t>These worksheets must be completed for each GASB in which the following NC</w:t>
      </w:r>
      <w:r w:rsidR="00F71F86">
        <w:rPr>
          <w:rFonts w:ascii="Arial" w:hAnsi="Arial"/>
        </w:rPr>
        <w:t>F</w:t>
      </w:r>
      <w:r>
        <w:rPr>
          <w:rFonts w:ascii="Arial" w:hAnsi="Arial"/>
        </w:rPr>
        <w:t>S accounts are used:</w:t>
      </w:r>
    </w:p>
    <w:p w14:paraId="703FD1E6" w14:textId="77777777" w:rsidR="004E46A3" w:rsidRDefault="004E46A3">
      <w:pPr>
        <w:rPr>
          <w:rFonts w:ascii="Arial" w:hAnsi="Arial"/>
        </w:rPr>
      </w:pPr>
    </w:p>
    <w:p w14:paraId="5B646521" w14:textId="1790A23F" w:rsidR="004E46A3" w:rsidRDefault="004E46A3">
      <w:pPr>
        <w:rPr>
          <w:rFonts w:ascii="Arial" w:hAnsi="Arial"/>
        </w:rPr>
      </w:pPr>
      <w:r>
        <w:rPr>
          <w:rFonts w:ascii="Arial" w:hAnsi="Arial"/>
        </w:rPr>
        <w:t>114410</w:t>
      </w:r>
      <w:r w:rsidR="0060303C">
        <w:rPr>
          <w:rFonts w:ascii="Arial" w:hAnsi="Arial"/>
        </w:rPr>
        <w:t>00</w:t>
      </w:r>
      <w:r>
        <w:rPr>
          <w:rFonts w:ascii="Arial" w:hAnsi="Arial"/>
        </w:rPr>
        <w:t>-114421</w:t>
      </w:r>
      <w:r w:rsidR="0060303C">
        <w:rPr>
          <w:rFonts w:ascii="Arial" w:hAnsi="Arial"/>
        </w:rPr>
        <w:t>00</w:t>
      </w:r>
      <w:r>
        <w:rPr>
          <w:rFonts w:ascii="Arial" w:hAnsi="Arial"/>
        </w:rPr>
        <w:tab/>
      </w:r>
      <w:r>
        <w:rPr>
          <w:rFonts w:ascii="Arial" w:hAnsi="Arial"/>
        </w:rPr>
        <w:tab/>
      </w:r>
      <w:smartTag w:uri="urn:schemas-microsoft-com:office:smarttags" w:element="place">
        <w:smartTag w:uri="urn:schemas-microsoft-com:office:smarttags" w:element="PlaceName">
          <w:r>
            <w:rPr>
              <w:rFonts w:ascii="Arial" w:hAnsi="Arial"/>
            </w:rPr>
            <w:t>General</w:t>
          </w:r>
        </w:smartTag>
        <w:r>
          <w:rPr>
            <w:rFonts w:ascii="Arial" w:hAnsi="Arial"/>
          </w:rPr>
          <w:t xml:space="preserve"> </w:t>
        </w:r>
        <w:smartTag w:uri="urn:schemas-microsoft-com:office:smarttags" w:element="PlaceName">
          <w:r>
            <w:rPr>
              <w:rFonts w:ascii="Arial" w:hAnsi="Arial"/>
            </w:rPr>
            <w:t>Government</w:t>
          </w:r>
        </w:smartTag>
        <w:r>
          <w:rPr>
            <w:rFonts w:ascii="Arial" w:hAnsi="Arial"/>
          </w:rPr>
          <w:t xml:space="preserve"> </w:t>
        </w:r>
        <w:smartTag w:uri="urn:schemas-microsoft-com:office:smarttags" w:element="PlaceType">
          <w:r>
            <w:rPr>
              <w:rFonts w:ascii="Arial" w:hAnsi="Arial"/>
            </w:rPr>
            <w:t>Inter-Agency</w:t>
          </w:r>
        </w:smartTag>
      </w:smartTag>
      <w:r>
        <w:rPr>
          <w:rFonts w:ascii="Arial" w:hAnsi="Arial"/>
        </w:rPr>
        <w:t xml:space="preserve"> Receivables</w:t>
      </w:r>
    </w:p>
    <w:p w14:paraId="35889781" w14:textId="54BCCA91" w:rsidR="004E46A3" w:rsidRDefault="004E46A3">
      <w:pPr>
        <w:rPr>
          <w:rFonts w:ascii="Arial" w:hAnsi="Arial"/>
        </w:rPr>
      </w:pPr>
      <w:r>
        <w:rPr>
          <w:rFonts w:ascii="Arial" w:hAnsi="Arial"/>
        </w:rPr>
        <w:t>212410</w:t>
      </w:r>
      <w:r w:rsidR="0060303C">
        <w:rPr>
          <w:rFonts w:ascii="Arial" w:hAnsi="Arial"/>
        </w:rPr>
        <w:t>00</w:t>
      </w:r>
      <w:r>
        <w:rPr>
          <w:rFonts w:ascii="Arial" w:hAnsi="Arial"/>
        </w:rPr>
        <w:t>-212421</w:t>
      </w:r>
      <w:r w:rsidR="0060303C">
        <w:rPr>
          <w:rFonts w:ascii="Arial" w:hAnsi="Arial"/>
        </w:rPr>
        <w:t>00</w:t>
      </w:r>
      <w:r>
        <w:rPr>
          <w:rFonts w:ascii="Arial" w:hAnsi="Arial"/>
        </w:rPr>
        <w:t xml:space="preserve"> </w:t>
      </w:r>
      <w:r>
        <w:rPr>
          <w:rFonts w:ascii="Arial" w:hAnsi="Arial"/>
        </w:rPr>
        <w:tab/>
      </w:r>
      <w:r>
        <w:rPr>
          <w:rFonts w:ascii="Arial" w:hAnsi="Arial"/>
        </w:rPr>
        <w:tab/>
        <w:t>General Government Inter-Agency Payables</w:t>
      </w:r>
    </w:p>
    <w:p w14:paraId="423E5467" w14:textId="77777777" w:rsidR="0089119A" w:rsidRDefault="0089119A">
      <w:pPr>
        <w:pStyle w:val="BodyText2"/>
        <w:spacing w:line="240" w:lineRule="auto"/>
        <w:rPr>
          <w:rFonts w:ascii="Arial" w:hAnsi="Arial"/>
          <w:b/>
          <w:bCs/>
          <w:u w:val="single"/>
        </w:rPr>
      </w:pPr>
    </w:p>
    <w:p w14:paraId="2F9D3CE3" w14:textId="54ED2C96" w:rsidR="1C7E93C9" w:rsidRDefault="1C7E93C9" w:rsidP="7B11F79C">
      <w:pPr>
        <w:pStyle w:val="BodyText2"/>
        <w:spacing w:line="240" w:lineRule="auto"/>
        <w:rPr>
          <w:rFonts w:ascii="Arial" w:hAnsi="Arial"/>
          <w:sz w:val="20"/>
        </w:rPr>
      </w:pPr>
      <w:r w:rsidRPr="7B11F79C">
        <w:rPr>
          <w:rFonts w:ascii="Arial" w:hAnsi="Arial"/>
          <w:sz w:val="20"/>
        </w:rPr>
        <w:t>C</w:t>
      </w:r>
      <w:r w:rsidR="0748D723" w:rsidRPr="7B11F79C">
        <w:rPr>
          <w:rFonts w:ascii="Arial" w:hAnsi="Arial"/>
          <w:sz w:val="20"/>
        </w:rPr>
        <w:t>hoose the agency number first from the drop-down box before choosing the GASB number</w:t>
      </w:r>
      <w:r w:rsidR="104BCD94" w:rsidRPr="7B11F79C">
        <w:rPr>
          <w:rFonts w:ascii="Arial" w:hAnsi="Arial"/>
          <w:sz w:val="20"/>
        </w:rPr>
        <w:t>, so the correct GASB numbers will populate for the agency</w:t>
      </w:r>
      <w:r w:rsidR="0748D723" w:rsidRPr="7B11F79C">
        <w:rPr>
          <w:rFonts w:ascii="Arial" w:hAnsi="Arial"/>
          <w:sz w:val="20"/>
        </w:rPr>
        <w:t>.</w:t>
      </w:r>
    </w:p>
    <w:p w14:paraId="0E0A312A" w14:textId="1686D83E" w:rsidR="7B11F79C" w:rsidRDefault="7B11F79C" w:rsidP="7B11F79C">
      <w:pPr>
        <w:pStyle w:val="BodyText2"/>
        <w:spacing w:line="240" w:lineRule="auto"/>
        <w:rPr>
          <w:rFonts w:ascii="Arial" w:hAnsi="Arial"/>
          <w:b/>
          <w:bCs/>
        </w:rPr>
      </w:pPr>
    </w:p>
    <w:p w14:paraId="6C38D3EC" w14:textId="77777777" w:rsidR="004E46A3" w:rsidRPr="009C64CC" w:rsidRDefault="000F3810">
      <w:pPr>
        <w:pStyle w:val="BodyText2"/>
        <w:spacing w:line="240" w:lineRule="auto"/>
        <w:rPr>
          <w:rFonts w:ascii="Arial" w:hAnsi="Arial"/>
          <w:b/>
          <w:smallCaps/>
          <w:u w:val="single"/>
        </w:rPr>
      </w:pPr>
      <w:r w:rsidRPr="009C64CC">
        <w:rPr>
          <w:rFonts w:ascii="Arial" w:hAnsi="Arial"/>
          <w:b/>
          <w:smallCaps/>
          <w:u w:val="single"/>
        </w:rPr>
        <w:t xml:space="preserve">Schedules Of Due From And To </w:t>
      </w:r>
      <w:proofErr w:type="gramStart"/>
      <w:r w:rsidRPr="009C64CC">
        <w:rPr>
          <w:rFonts w:ascii="Arial" w:hAnsi="Arial"/>
          <w:b/>
          <w:smallCaps/>
          <w:u w:val="single"/>
        </w:rPr>
        <w:t>Primary</w:t>
      </w:r>
      <w:proofErr w:type="gramEnd"/>
      <w:r w:rsidRPr="009C64CC">
        <w:rPr>
          <w:rFonts w:ascii="Arial" w:hAnsi="Arial"/>
          <w:b/>
          <w:smallCaps/>
          <w:u w:val="single"/>
        </w:rPr>
        <w:t xml:space="preserve"> Government (515-520)</w:t>
      </w:r>
    </w:p>
    <w:p w14:paraId="5B270323" w14:textId="77777777" w:rsidR="004E46A3" w:rsidRDefault="004E46A3">
      <w:pPr>
        <w:rPr>
          <w:rFonts w:ascii="Arial" w:hAnsi="Arial"/>
        </w:rPr>
      </w:pPr>
    </w:p>
    <w:p w14:paraId="74D70EA3" w14:textId="27B3EE15" w:rsidR="2220314F" w:rsidRDefault="2220314F" w:rsidP="009EA386">
      <w:pPr>
        <w:rPr>
          <w:rFonts w:ascii="Arial" w:hAnsi="Arial"/>
        </w:rPr>
      </w:pPr>
      <w:r w:rsidRPr="009EA386">
        <w:rPr>
          <w:rFonts w:ascii="Arial" w:hAnsi="Arial"/>
        </w:rPr>
        <w:t>These worksheets are only applicable to component units.</w:t>
      </w:r>
    </w:p>
    <w:p w14:paraId="5D40235E" w14:textId="188FF25B" w:rsidR="25E0FDDE" w:rsidRDefault="25E0FDDE" w:rsidP="25E0FDDE">
      <w:pPr>
        <w:rPr>
          <w:rFonts w:ascii="Arial" w:hAnsi="Arial"/>
        </w:rPr>
      </w:pPr>
    </w:p>
    <w:p w14:paraId="58FBA122" w14:textId="2CB4B509" w:rsidR="6DA3EB84" w:rsidRDefault="6DA3EB84" w:rsidP="25E0FDDE">
      <w:pPr>
        <w:rPr>
          <w:rFonts w:ascii="Arial" w:hAnsi="Arial"/>
        </w:rPr>
      </w:pPr>
      <w:r w:rsidRPr="25E0FDDE">
        <w:rPr>
          <w:rFonts w:ascii="Arial" w:hAnsi="Arial"/>
        </w:rPr>
        <w:t xml:space="preserve">The $1,000,000 threshold on these worksheets should be applied in aggregate </w:t>
      </w:r>
      <w:r w:rsidRPr="25E0FDDE">
        <w:rPr>
          <w:rFonts w:ascii="Arial" w:hAnsi="Arial"/>
          <w:b/>
          <w:bCs/>
        </w:rPr>
        <w:t>per Agency and per GASB</w:t>
      </w:r>
      <w:r w:rsidRPr="25E0FDDE">
        <w:rPr>
          <w:rFonts w:ascii="Arial" w:hAnsi="Arial"/>
        </w:rPr>
        <w:t xml:space="preserve">.  Balances equal to or </w:t>
      </w:r>
      <w:proofErr w:type="gramStart"/>
      <w:r w:rsidRPr="25E0FDDE">
        <w:rPr>
          <w:rFonts w:ascii="Arial" w:hAnsi="Arial"/>
        </w:rPr>
        <w:t>in excess of</w:t>
      </w:r>
      <w:proofErr w:type="gramEnd"/>
      <w:r w:rsidRPr="25E0FDDE">
        <w:rPr>
          <w:rFonts w:ascii="Arial" w:hAnsi="Arial"/>
        </w:rPr>
        <w:t xml:space="preserve"> the threshold should be recorded as interfund balances in the appropriate account.  Intra-agency balances below the threshold should be reclassified as Accounts Receivable or Accounts Payable.</w:t>
      </w:r>
    </w:p>
    <w:p w14:paraId="7014618C" w14:textId="1C0A44E6" w:rsidR="009EA386" w:rsidRDefault="009EA386" w:rsidP="009EA386">
      <w:pPr>
        <w:rPr>
          <w:rFonts w:ascii="Arial" w:hAnsi="Arial"/>
        </w:rPr>
      </w:pPr>
    </w:p>
    <w:p w14:paraId="53C71C89" w14:textId="030ECEBC" w:rsidR="00AB46C9" w:rsidRPr="00DB4DE6" w:rsidRDefault="00DB4DE6" w:rsidP="00AB46C9">
      <w:pPr>
        <w:rPr>
          <w:rFonts w:ascii="Arial" w:hAnsi="Arial"/>
        </w:rPr>
      </w:pPr>
      <w:r w:rsidRPr="00DB4DE6">
        <w:rPr>
          <w:rFonts w:ascii="Arial" w:hAnsi="Arial"/>
        </w:rPr>
        <w:t>T</w:t>
      </w:r>
      <w:r w:rsidR="00AB46C9" w:rsidRPr="00DB4DE6">
        <w:rPr>
          <w:rFonts w:ascii="Arial" w:hAnsi="Arial"/>
        </w:rPr>
        <w:t xml:space="preserve">here is NO threshold for amounts due </w:t>
      </w:r>
      <w:r w:rsidR="00492879" w:rsidRPr="00DB4DE6">
        <w:rPr>
          <w:rFonts w:ascii="Arial" w:hAnsi="Arial"/>
        </w:rPr>
        <w:t xml:space="preserve">from/due </w:t>
      </w:r>
      <w:r w:rsidR="00AB46C9" w:rsidRPr="00DB4DE6">
        <w:rPr>
          <w:rFonts w:ascii="Arial" w:hAnsi="Arial"/>
        </w:rPr>
        <w:t xml:space="preserve">to the Primary Government related to Coronavirus Funds. In the Comments section of this worksheet, component units should indicate whether the Due </w:t>
      </w:r>
      <w:r w:rsidR="005329F3" w:rsidRPr="00DB4DE6">
        <w:rPr>
          <w:rFonts w:ascii="Arial" w:hAnsi="Arial"/>
        </w:rPr>
        <w:t xml:space="preserve">From/Due </w:t>
      </w:r>
      <w:r w:rsidR="00AB46C9" w:rsidRPr="00DB4DE6">
        <w:rPr>
          <w:rFonts w:ascii="Arial" w:hAnsi="Arial"/>
        </w:rPr>
        <w:t xml:space="preserve">to Primary Government relates to (1) </w:t>
      </w:r>
      <w:r w:rsidR="00AD6429" w:rsidRPr="00DB4DE6">
        <w:rPr>
          <w:rFonts w:ascii="Arial" w:hAnsi="Arial"/>
        </w:rPr>
        <w:t xml:space="preserve">CARES Act </w:t>
      </w:r>
      <w:r w:rsidR="00AB46C9" w:rsidRPr="00DB4DE6">
        <w:rPr>
          <w:rFonts w:ascii="Arial" w:hAnsi="Arial"/>
        </w:rPr>
        <w:t xml:space="preserve">Coronavirus Relief Fund </w:t>
      </w:r>
      <w:r w:rsidR="00C211AA" w:rsidRPr="00DB4DE6">
        <w:rPr>
          <w:rFonts w:ascii="Arial" w:hAnsi="Arial"/>
        </w:rPr>
        <w:t xml:space="preserve">(CRF) </w:t>
      </w:r>
      <w:r w:rsidR="00AB46C9" w:rsidRPr="00DB4DE6">
        <w:rPr>
          <w:rFonts w:ascii="Arial" w:hAnsi="Arial"/>
        </w:rPr>
        <w:t xml:space="preserve">money, (2) </w:t>
      </w:r>
      <w:r w:rsidR="00872FFF" w:rsidRPr="00DB4DE6">
        <w:rPr>
          <w:rFonts w:ascii="Arial" w:hAnsi="Arial"/>
        </w:rPr>
        <w:t xml:space="preserve">American Rescue Plan </w:t>
      </w:r>
      <w:r w:rsidR="00AD6429" w:rsidRPr="00DB4DE6">
        <w:rPr>
          <w:rFonts w:ascii="Arial" w:hAnsi="Arial"/>
        </w:rPr>
        <w:t xml:space="preserve">Act </w:t>
      </w:r>
      <w:r w:rsidR="00872FFF" w:rsidRPr="00DB4DE6">
        <w:rPr>
          <w:rFonts w:ascii="Arial" w:hAnsi="Arial"/>
        </w:rPr>
        <w:t>(ARP</w:t>
      </w:r>
      <w:r w:rsidR="00AD6429" w:rsidRPr="00DB4DE6">
        <w:rPr>
          <w:rFonts w:ascii="Arial" w:hAnsi="Arial"/>
        </w:rPr>
        <w:t>A</w:t>
      </w:r>
      <w:r w:rsidR="00872FFF" w:rsidRPr="00DB4DE6">
        <w:rPr>
          <w:rFonts w:ascii="Arial" w:hAnsi="Arial"/>
        </w:rPr>
        <w:t xml:space="preserve">) State </w:t>
      </w:r>
      <w:r w:rsidR="00AD6429" w:rsidRPr="00DB4DE6">
        <w:rPr>
          <w:rFonts w:ascii="Arial" w:hAnsi="Arial"/>
        </w:rPr>
        <w:t xml:space="preserve">and Local </w:t>
      </w:r>
      <w:r w:rsidR="00872FFF" w:rsidRPr="00DB4DE6">
        <w:rPr>
          <w:rFonts w:ascii="Arial" w:hAnsi="Arial"/>
        </w:rPr>
        <w:t>Fiscal Recovery Funds</w:t>
      </w:r>
      <w:r w:rsidR="00970320" w:rsidRPr="00DB4DE6">
        <w:rPr>
          <w:rFonts w:ascii="Arial" w:hAnsi="Arial"/>
        </w:rPr>
        <w:t xml:space="preserve"> money</w:t>
      </w:r>
      <w:r w:rsidR="00872FFF" w:rsidRPr="00DB4DE6">
        <w:rPr>
          <w:rFonts w:ascii="Arial" w:hAnsi="Arial"/>
        </w:rPr>
        <w:t xml:space="preserve">, OR (3) </w:t>
      </w:r>
      <w:r w:rsidR="00AB46C9" w:rsidRPr="00DB4DE6">
        <w:rPr>
          <w:rFonts w:ascii="Arial" w:hAnsi="Arial"/>
        </w:rPr>
        <w:t xml:space="preserve">other coronavirus funds. </w:t>
      </w:r>
    </w:p>
    <w:p w14:paraId="630104EC" w14:textId="77777777" w:rsidR="00AB46C9" w:rsidRDefault="00AB46C9">
      <w:pPr>
        <w:rPr>
          <w:rFonts w:ascii="Arial" w:hAnsi="Arial"/>
        </w:rPr>
      </w:pPr>
    </w:p>
    <w:p w14:paraId="02B0400B" w14:textId="4B650B5A" w:rsidR="004E46A3" w:rsidRDefault="004E46A3">
      <w:pPr>
        <w:rPr>
          <w:rFonts w:ascii="Arial" w:hAnsi="Arial"/>
        </w:rPr>
      </w:pPr>
      <w:r>
        <w:rPr>
          <w:rFonts w:ascii="Arial" w:hAnsi="Arial"/>
        </w:rPr>
        <w:t>These worksheets must be completed for each GASB in which the following NC</w:t>
      </w:r>
      <w:r w:rsidR="00F71F86">
        <w:rPr>
          <w:rFonts w:ascii="Arial" w:hAnsi="Arial"/>
        </w:rPr>
        <w:t>F</w:t>
      </w:r>
      <w:r>
        <w:rPr>
          <w:rFonts w:ascii="Arial" w:hAnsi="Arial"/>
        </w:rPr>
        <w:t>S accounts are used:</w:t>
      </w:r>
    </w:p>
    <w:p w14:paraId="3E958FCE" w14:textId="77777777" w:rsidR="004E46A3" w:rsidRDefault="004E46A3">
      <w:pPr>
        <w:rPr>
          <w:rFonts w:ascii="Arial" w:hAnsi="Arial"/>
        </w:rPr>
      </w:pPr>
    </w:p>
    <w:p w14:paraId="0ABAB951" w14:textId="19824842" w:rsidR="004E46A3" w:rsidRDefault="004E46A3">
      <w:pPr>
        <w:rPr>
          <w:rFonts w:ascii="Arial" w:hAnsi="Arial"/>
        </w:rPr>
      </w:pPr>
      <w:r>
        <w:rPr>
          <w:rFonts w:ascii="Arial" w:hAnsi="Arial"/>
        </w:rPr>
        <w:t>114600</w:t>
      </w:r>
      <w:r w:rsidR="00753B5E">
        <w:rPr>
          <w:rFonts w:ascii="Arial" w:hAnsi="Arial"/>
        </w:rPr>
        <w:t>00</w:t>
      </w:r>
      <w:r>
        <w:rPr>
          <w:rFonts w:ascii="Arial" w:hAnsi="Arial"/>
        </w:rPr>
        <w:tab/>
      </w:r>
      <w:r>
        <w:rPr>
          <w:rFonts w:ascii="Arial" w:hAnsi="Arial"/>
        </w:rPr>
        <w:tab/>
        <w:t xml:space="preserve">Due </w:t>
      </w:r>
      <w:proofErr w:type="gramStart"/>
      <w:r>
        <w:rPr>
          <w:rFonts w:ascii="Arial" w:hAnsi="Arial"/>
        </w:rPr>
        <w:t>From</w:t>
      </w:r>
      <w:proofErr w:type="gramEnd"/>
      <w:r>
        <w:rPr>
          <w:rFonts w:ascii="Arial" w:hAnsi="Arial"/>
        </w:rPr>
        <w:t xml:space="preserve"> Primary Government Agencies</w:t>
      </w:r>
    </w:p>
    <w:p w14:paraId="38641CFC" w14:textId="3C68E8B7" w:rsidR="004E46A3" w:rsidRDefault="004E46A3">
      <w:pPr>
        <w:rPr>
          <w:rFonts w:ascii="Arial" w:hAnsi="Arial"/>
        </w:rPr>
      </w:pPr>
      <w:r>
        <w:rPr>
          <w:rFonts w:ascii="Arial" w:hAnsi="Arial"/>
        </w:rPr>
        <w:t>124100</w:t>
      </w:r>
      <w:r w:rsidR="00753B5E">
        <w:rPr>
          <w:rFonts w:ascii="Arial" w:hAnsi="Arial"/>
        </w:rPr>
        <w:t>00</w:t>
      </w:r>
      <w:r>
        <w:rPr>
          <w:rFonts w:ascii="Arial" w:hAnsi="Arial"/>
        </w:rPr>
        <w:tab/>
      </w:r>
      <w:r>
        <w:rPr>
          <w:rFonts w:ascii="Arial" w:hAnsi="Arial"/>
        </w:rPr>
        <w:tab/>
        <w:t xml:space="preserve">Restricted Due </w:t>
      </w:r>
      <w:proofErr w:type="gramStart"/>
      <w:r>
        <w:rPr>
          <w:rFonts w:ascii="Arial" w:hAnsi="Arial"/>
        </w:rPr>
        <w:t>From</w:t>
      </w:r>
      <w:proofErr w:type="gramEnd"/>
      <w:r>
        <w:rPr>
          <w:rFonts w:ascii="Arial" w:hAnsi="Arial"/>
        </w:rPr>
        <w:t xml:space="preserve"> Primary Government</w:t>
      </w:r>
    </w:p>
    <w:p w14:paraId="73B8D11A" w14:textId="6E5FBEF7" w:rsidR="004E46A3" w:rsidRDefault="004E46A3">
      <w:pPr>
        <w:rPr>
          <w:rFonts w:ascii="Arial" w:hAnsi="Arial"/>
        </w:rPr>
      </w:pPr>
      <w:r>
        <w:rPr>
          <w:rFonts w:ascii="Arial" w:hAnsi="Arial"/>
        </w:rPr>
        <w:t>212500</w:t>
      </w:r>
      <w:r w:rsidR="00753B5E">
        <w:rPr>
          <w:rFonts w:ascii="Arial" w:hAnsi="Arial"/>
        </w:rPr>
        <w:t>00</w:t>
      </w:r>
      <w:r>
        <w:rPr>
          <w:rFonts w:ascii="Arial" w:hAnsi="Arial"/>
        </w:rPr>
        <w:tab/>
      </w:r>
      <w:r>
        <w:rPr>
          <w:rFonts w:ascii="Arial" w:hAnsi="Arial"/>
        </w:rPr>
        <w:tab/>
        <w:t>Due To Primary Government Agencies</w:t>
      </w:r>
    </w:p>
    <w:p w14:paraId="143ABF52" w14:textId="77777777" w:rsidR="004E46A3" w:rsidRDefault="004E46A3">
      <w:pPr>
        <w:rPr>
          <w:rFonts w:ascii="Arial" w:hAnsi="Arial"/>
        </w:rPr>
      </w:pPr>
    </w:p>
    <w:p w14:paraId="2CCA5D6B" w14:textId="77777777" w:rsidR="004E46A3" w:rsidRDefault="004E46A3">
      <w:pPr>
        <w:rPr>
          <w:rFonts w:ascii="Arial" w:hAnsi="Arial"/>
        </w:rPr>
      </w:pPr>
      <w:r>
        <w:rPr>
          <w:rFonts w:ascii="Arial" w:hAnsi="Arial"/>
          <w:b/>
        </w:rPr>
        <w:t>These accounts should only be used by component units identified on the list above.</w:t>
      </w:r>
    </w:p>
    <w:p w14:paraId="6A6EA749" w14:textId="77777777" w:rsidR="000D292A" w:rsidRDefault="000D292A">
      <w:pPr>
        <w:rPr>
          <w:rFonts w:ascii="Arial" w:hAnsi="Arial"/>
        </w:rPr>
      </w:pPr>
    </w:p>
    <w:p w14:paraId="32149E6C" w14:textId="77777777" w:rsidR="000D292A" w:rsidRPr="00AC3D1B" w:rsidRDefault="000D292A">
      <w:pPr>
        <w:rPr>
          <w:rFonts w:ascii="Arial" w:hAnsi="Arial"/>
          <w:b/>
          <w:bCs/>
        </w:rPr>
      </w:pPr>
      <w:r w:rsidRPr="7B11F79C">
        <w:rPr>
          <w:rFonts w:ascii="Arial" w:hAnsi="Arial"/>
          <w:b/>
          <w:bCs/>
        </w:rPr>
        <w:t xml:space="preserve">The threshold limit </w:t>
      </w:r>
      <w:r w:rsidRPr="7B11F79C">
        <w:rPr>
          <w:rFonts w:ascii="Arial" w:hAnsi="Arial"/>
          <w:b/>
          <w:bCs/>
          <w:u w:val="single"/>
        </w:rPr>
        <w:t>does</w:t>
      </w:r>
      <w:r w:rsidRPr="7B11F79C">
        <w:rPr>
          <w:rFonts w:ascii="Arial" w:hAnsi="Arial"/>
          <w:b/>
          <w:bCs/>
        </w:rPr>
        <w:t xml:space="preserve"> </w:t>
      </w:r>
      <w:r w:rsidRPr="7B11F79C">
        <w:rPr>
          <w:rFonts w:ascii="Arial" w:hAnsi="Arial"/>
          <w:b/>
          <w:bCs/>
          <w:u w:val="single"/>
        </w:rPr>
        <w:t>not</w:t>
      </w:r>
      <w:r w:rsidRPr="7B11F79C">
        <w:rPr>
          <w:rFonts w:ascii="Arial" w:hAnsi="Arial"/>
          <w:b/>
          <w:bCs/>
        </w:rPr>
        <w:t xml:space="preserve"> apply to the Restricted due from Prim Gov section.</w:t>
      </w:r>
    </w:p>
    <w:p w14:paraId="43FC499E" w14:textId="6B9B7EF1" w:rsidR="7B11F79C" w:rsidRDefault="7B11F79C" w:rsidP="7B11F79C">
      <w:pPr>
        <w:rPr>
          <w:rFonts w:ascii="Arial" w:hAnsi="Arial"/>
          <w:b/>
          <w:bCs/>
        </w:rPr>
      </w:pPr>
    </w:p>
    <w:p w14:paraId="380D95FE" w14:textId="20705139" w:rsidR="56081A66" w:rsidRDefault="56081A66" w:rsidP="7B11F79C">
      <w:pPr>
        <w:pStyle w:val="BodyText2"/>
        <w:spacing w:line="240" w:lineRule="auto"/>
        <w:rPr>
          <w:rFonts w:ascii="Arial" w:hAnsi="Arial"/>
          <w:sz w:val="20"/>
        </w:rPr>
      </w:pPr>
      <w:r w:rsidRPr="7B11F79C">
        <w:rPr>
          <w:rFonts w:ascii="Arial" w:hAnsi="Arial"/>
          <w:sz w:val="20"/>
        </w:rPr>
        <w:t>C</w:t>
      </w:r>
      <w:r w:rsidR="5CE6B687" w:rsidRPr="7B11F79C">
        <w:rPr>
          <w:rFonts w:ascii="Arial" w:hAnsi="Arial"/>
          <w:sz w:val="20"/>
        </w:rPr>
        <w:t>hoose the agency number first from the drop-down box before choosing the GASB number</w:t>
      </w:r>
      <w:r w:rsidR="493F7FEE" w:rsidRPr="7B11F79C">
        <w:rPr>
          <w:rFonts w:ascii="Arial" w:hAnsi="Arial"/>
          <w:sz w:val="20"/>
        </w:rPr>
        <w:t>, so the correct GASB numbers will populate for the agency</w:t>
      </w:r>
      <w:r w:rsidR="5CE6B687" w:rsidRPr="7B11F79C">
        <w:rPr>
          <w:rFonts w:ascii="Arial" w:hAnsi="Arial"/>
          <w:sz w:val="20"/>
        </w:rPr>
        <w:t>.</w:t>
      </w:r>
    </w:p>
    <w:p w14:paraId="044D481C" w14:textId="77777777" w:rsidR="00CB1A0B" w:rsidRDefault="00CB1A0B">
      <w:pPr>
        <w:pStyle w:val="BodyText3"/>
        <w:spacing w:line="240" w:lineRule="auto"/>
        <w:rPr>
          <w:rFonts w:ascii="Arial" w:hAnsi="Arial"/>
          <w:caps w:val="0"/>
          <w:smallCaps/>
        </w:rPr>
      </w:pPr>
    </w:p>
    <w:p w14:paraId="2CE84A31" w14:textId="53AF39E7" w:rsidR="004E46A3" w:rsidRPr="009C64CC" w:rsidRDefault="000F3810">
      <w:pPr>
        <w:pStyle w:val="BodyText3"/>
        <w:spacing w:line="240" w:lineRule="auto"/>
        <w:rPr>
          <w:rFonts w:ascii="Arial" w:hAnsi="Arial"/>
          <w:caps w:val="0"/>
          <w:smallCaps/>
        </w:rPr>
      </w:pPr>
      <w:r w:rsidRPr="009C64CC">
        <w:rPr>
          <w:rFonts w:ascii="Arial" w:hAnsi="Arial"/>
          <w:caps w:val="0"/>
          <w:smallCaps/>
        </w:rPr>
        <w:t>Schedules Of Due From</w:t>
      </w:r>
      <w:r w:rsidR="006B6B0F" w:rsidRPr="009C64CC">
        <w:rPr>
          <w:rFonts w:ascii="Arial" w:hAnsi="Arial"/>
          <w:caps w:val="0"/>
          <w:smallCaps/>
        </w:rPr>
        <w:t xml:space="preserve"> </w:t>
      </w:r>
      <w:r w:rsidRPr="009C64CC">
        <w:rPr>
          <w:rFonts w:ascii="Arial" w:hAnsi="Arial"/>
          <w:caps w:val="0"/>
          <w:smallCaps/>
        </w:rPr>
        <w:t>/To State Of N</w:t>
      </w:r>
      <w:r w:rsidR="006E1EF3" w:rsidRPr="009C64CC">
        <w:rPr>
          <w:rFonts w:ascii="Arial" w:hAnsi="Arial"/>
          <w:caps w:val="0"/>
          <w:smallCaps/>
        </w:rPr>
        <w:t>C</w:t>
      </w:r>
      <w:r w:rsidRPr="009C64CC">
        <w:rPr>
          <w:rFonts w:ascii="Arial" w:hAnsi="Arial"/>
          <w:caps w:val="0"/>
          <w:smallCaps/>
        </w:rPr>
        <w:t xml:space="preserve"> Component Units (525-530)</w:t>
      </w:r>
    </w:p>
    <w:p w14:paraId="66731583" w14:textId="77777777" w:rsidR="004E46A3" w:rsidRDefault="004E46A3">
      <w:pPr>
        <w:rPr>
          <w:rFonts w:ascii="Arial" w:hAnsi="Arial"/>
        </w:rPr>
      </w:pPr>
    </w:p>
    <w:p w14:paraId="67801902" w14:textId="3F6EC186" w:rsidR="00AB46C9" w:rsidRPr="00DC52FC" w:rsidRDefault="4029916F">
      <w:pPr>
        <w:rPr>
          <w:rFonts w:ascii="Arial" w:hAnsi="Arial"/>
        </w:rPr>
      </w:pPr>
      <w:r w:rsidRPr="25E0FDDE">
        <w:rPr>
          <w:rFonts w:ascii="Arial" w:hAnsi="Arial"/>
        </w:rPr>
        <w:t xml:space="preserve">The $1,000,000 threshold on these worksheets should be applied in aggregate </w:t>
      </w:r>
      <w:r w:rsidRPr="25E0FDDE">
        <w:rPr>
          <w:rFonts w:ascii="Arial" w:hAnsi="Arial"/>
          <w:b/>
          <w:bCs/>
        </w:rPr>
        <w:t>per Component Unit and per GASB</w:t>
      </w:r>
      <w:r w:rsidRPr="25E0FDDE">
        <w:rPr>
          <w:rFonts w:ascii="Arial" w:hAnsi="Arial"/>
        </w:rPr>
        <w:t xml:space="preserve">. </w:t>
      </w:r>
      <w:bookmarkStart w:id="8" w:name="_Hlk97812400"/>
      <w:r w:rsidR="00DC52FC" w:rsidRPr="00DC52FC">
        <w:rPr>
          <w:rFonts w:ascii="Arial" w:hAnsi="Arial"/>
        </w:rPr>
        <w:t>T</w:t>
      </w:r>
      <w:r w:rsidR="00AB46C9" w:rsidRPr="00DC52FC">
        <w:rPr>
          <w:rFonts w:ascii="Arial" w:hAnsi="Arial"/>
        </w:rPr>
        <w:t>here is NO threshold for amounts due from</w:t>
      </w:r>
      <w:r w:rsidR="005329F3" w:rsidRPr="00DC52FC">
        <w:rPr>
          <w:rFonts w:ascii="Arial" w:hAnsi="Arial"/>
        </w:rPr>
        <w:t>/due to</w:t>
      </w:r>
      <w:r w:rsidR="00AB46C9" w:rsidRPr="00DC52FC">
        <w:rPr>
          <w:rFonts w:ascii="Arial" w:hAnsi="Arial"/>
        </w:rPr>
        <w:t xml:space="preserve"> State of NC component units related to Coronavirus Funds. In the Comments section of this worksheet, entities should indicate whether the Due </w:t>
      </w:r>
      <w:r w:rsidR="00AB46C9" w:rsidRPr="00DC52FC">
        <w:rPr>
          <w:rFonts w:ascii="Arial" w:hAnsi="Arial"/>
        </w:rPr>
        <w:lastRenderedPageBreak/>
        <w:t>from</w:t>
      </w:r>
      <w:r w:rsidR="005329F3" w:rsidRPr="00DC52FC">
        <w:rPr>
          <w:rFonts w:ascii="Arial" w:hAnsi="Arial"/>
        </w:rPr>
        <w:t>/Due to</w:t>
      </w:r>
      <w:r w:rsidR="00AB46C9" w:rsidRPr="00DC52FC">
        <w:rPr>
          <w:rFonts w:ascii="Arial" w:hAnsi="Arial"/>
        </w:rPr>
        <w:t xml:space="preserve"> State of NC Component Units relates to (1) </w:t>
      </w:r>
      <w:r w:rsidR="00AD6429" w:rsidRPr="00DC52FC">
        <w:rPr>
          <w:rFonts w:ascii="Arial" w:hAnsi="Arial"/>
        </w:rPr>
        <w:t xml:space="preserve">CARES Act </w:t>
      </w:r>
      <w:r w:rsidR="00AB46C9" w:rsidRPr="00DC52FC">
        <w:rPr>
          <w:rFonts w:ascii="Arial" w:hAnsi="Arial"/>
        </w:rPr>
        <w:t xml:space="preserve">Coronavirus Relief Fund </w:t>
      </w:r>
      <w:r w:rsidR="00C211AA" w:rsidRPr="00DC52FC">
        <w:rPr>
          <w:rFonts w:ascii="Arial" w:hAnsi="Arial"/>
        </w:rPr>
        <w:t xml:space="preserve">(CRF) </w:t>
      </w:r>
      <w:r w:rsidR="00AB46C9" w:rsidRPr="00DC52FC">
        <w:rPr>
          <w:rFonts w:ascii="Arial" w:hAnsi="Arial"/>
        </w:rPr>
        <w:t>money</w:t>
      </w:r>
      <w:r w:rsidR="00B7633D" w:rsidRPr="00DC52FC">
        <w:rPr>
          <w:rFonts w:ascii="Arial" w:hAnsi="Arial"/>
        </w:rPr>
        <w:t>,</w:t>
      </w:r>
      <w:r w:rsidR="00AB46C9" w:rsidRPr="00DC52FC">
        <w:rPr>
          <w:rFonts w:ascii="Arial" w:hAnsi="Arial"/>
        </w:rPr>
        <w:t xml:space="preserve"> (2)</w:t>
      </w:r>
      <w:r w:rsidR="00872FFF" w:rsidRPr="00DC52FC">
        <w:rPr>
          <w:rFonts w:ascii="Arial" w:hAnsi="Arial"/>
        </w:rPr>
        <w:t xml:space="preserve"> American Rescue Plan </w:t>
      </w:r>
      <w:r w:rsidR="00AD6429" w:rsidRPr="00DC52FC">
        <w:rPr>
          <w:rFonts w:ascii="Arial" w:hAnsi="Arial"/>
        </w:rPr>
        <w:t xml:space="preserve">Act </w:t>
      </w:r>
      <w:r w:rsidR="00872FFF" w:rsidRPr="00DC52FC">
        <w:rPr>
          <w:rFonts w:ascii="Arial" w:hAnsi="Arial"/>
        </w:rPr>
        <w:t>(ARP</w:t>
      </w:r>
      <w:r w:rsidR="00970320" w:rsidRPr="00DC52FC">
        <w:rPr>
          <w:rFonts w:ascii="Arial" w:hAnsi="Arial"/>
        </w:rPr>
        <w:t>A</w:t>
      </w:r>
      <w:r w:rsidR="00872FFF" w:rsidRPr="00DC52FC">
        <w:rPr>
          <w:rFonts w:ascii="Arial" w:hAnsi="Arial"/>
        </w:rPr>
        <w:t>)</w:t>
      </w:r>
      <w:r w:rsidR="00AD6429" w:rsidRPr="00DC52FC">
        <w:rPr>
          <w:rFonts w:ascii="Arial" w:hAnsi="Arial"/>
        </w:rPr>
        <w:t xml:space="preserve"> </w:t>
      </w:r>
      <w:r w:rsidR="00872FFF" w:rsidRPr="00DC52FC">
        <w:rPr>
          <w:rFonts w:ascii="Arial" w:hAnsi="Arial"/>
        </w:rPr>
        <w:t xml:space="preserve">State </w:t>
      </w:r>
      <w:r w:rsidR="00AD6429" w:rsidRPr="00DC52FC">
        <w:rPr>
          <w:rFonts w:ascii="Arial" w:hAnsi="Arial"/>
        </w:rPr>
        <w:t xml:space="preserve">and Local </w:t>
      </w:r>
      <w:r w:rsidR="00872FFF" w:rsidRPr="00DC52FC">
        <w:rPr>
          <w:rFonts w:ascii="Arial" w:hAnsi="Arial"/>
        </w:rPr>
        <w:t>Fiscal Recovery Funds</w:t>
      </w:r>
      <w:r w:rsidR="00970320" w:rsidRPr="00DC52FC">
        <w:rPr>
          <w:rFonts w:ascii="Arial" w:hAnsi="Arial"/>
        </w:rPr>
        <w:t xml:space="preserve"> (SLFRF) money</w:t>
      </w:r>
      <w:r w:rsidR="00872FFF" w:rsidRPr="00DC52FC">
        <w:rPr>
          <w:rFonts w:ascii="Arial" w:hAnsi="Arial"/>
        </w:rPr>
        <w:t xml:space="preserve">, OR (3) </w:t>
      </w:r>
      <w:r w:rsidR="00AB46C9" w:rsidRPr="00DC52FC">
        <w:rPr>
          <w:rFonts w:ascii="Arial" w:hAnsi="Arial"/>
        </w:rPr>
        <w:t>other coronavirus funds.</w:t>
      </w:r>
    </w:p>
    <w:bookmarkEnd w:id="8"/>
    <w:p w14:paraId="61CC41DE" w14:textId="77777777" w:rsidR="00AB46C9" w:rsidRDefault="00AB46C9">
      <w:pPr>
        <w:rPr>
          <w:rFonts w:ascii="Arial" w:hAnsi="Arial"/>
        </w:rPr>
      </w:pPr>
    </w:p>
    <w:p w14:paraId="680D2904" w14:textId="5BD746DB" w:rsidR="004E46A3" w:rsidRDefault="004E46A3">
      <w:pPr>
        <w:rPr>
          <w:rFonts w:ascii="Arial" w:hAnsi="Arial"/>
        </w:rPr>
      </w:pPr>
      <w:r>
        <w:rPr>
          <w:rFonts w:ascii="Arial" w:hAnsi="Arial"/>
        </w:rPr>
        <w:t>These worksheets must be completed for each GASB in which the following NC</w:t>
      </w:r>
      <w:r w:rsidR="00F71F86">
        <w:rPr>
          <w:rFonts w:ascii="Arial" w:hAnsi="Arial"/>
        </w:rPr>
        <w:t>F</w:t>
      </w:r>
      <w:r>
        <w:rPr>
          <w:rFonts w:ascii="Arial" w:hAnsi="Arial"/>
        </w:rPr>
        <w:t>S accounts are used:</w:t>
      </w:r>
    </w:p>
    <w:p w14:paraId="5BEB63E8" w14:textId="77777777" w:rsidR="004E46A3" w:rsidRDefault="004E46A3">
      <w:pPr>
        <w:rPr>
          <w:rFonts w:ascii="Arial" w:hAnsi="Arial"/>
        </w:rPr>
      </w:pPr>
    </w:p>
    <w:p w14:paraId="706492DF" w14:textId="620854B3" w:rsidR="004E46A3" w:rsidRDefault="004E46A3">
      <w:pPr>
        <w:rPr>
          <w:rFonts w:ascii="Arial" w:hAnsi="Arial"/>
        </w:rPr>
      </w:pPr>
      <w:r>
        <w:rPr>
          <w:rFonts w:ascii="Arial" w:hAnsi="Arial"/>
        </w:rPr>
        <w:t>114700</w:t>
      </w:r>
      <w:r w:rsidR="00C93B39">
        <w:rPr>
          <w:rFonts w:ascii="Arial" w:hAnsi="Arial"/>
        </w:rPr>
        <w:t>00</w:t>
      </w:r>
      <w:r>
        <w:rPr>
          <w:rFonts w:ascii="Arial" w:hAnsi="Arial"/>
        </w:rPr>
        <w:tab/>
      </w:r>
      <w:r>
        <w:rPr>
          <w:rFonts w:ascii="Arial" w:hAnsi="Arial"/>
        </w:rPr>
        <w:tab/>
        <w:t xml:space="preserve">Due from State of </w:t>
      </w:r>
      <w:smartTag w:uri="urn:schemas-microsoft-com:office:smarttags" w:element="place">
        <w:smartTag w:uri="urn:schemas-microsoft-com:office:smarttags" w:element="State">
          <w:r>
            <w:rPr>
              <w:rFonts w:ascii="Arial" w:hAnsi="Arial"/>
            </w:rPr>
            <w:t>NC</w:t>
          </w:r>
        </w:smartTag>
      </w:smartTag>
      <w:r>
        <w:rPr>
          <w:rFonts w:ascii="Arial" w:hAnsi="Arial"/>
        </w:rPr>
        <w:t xml:space="preserve"> Component Units</w:t>
      </w:r>
    </w:p>
    <w:p w14:paraId="5D635BD0" w14:textId="287691C2" w:rsidR="00CD5B8D" w:rsidRDefault="00CD5B8D">
      <w:pPr>
        <w:rPr>
          <w:rFonts w:ascii="Arial" w:hAnsi="Arial"/>
        </w:rPr>
      </w:pPr>
      <w:r>
        <w:rPr>
          <w:rFonts w:ascii="Arial" w:hAnsi="Arial"/>
        </w:rPr>
        <w:t>124200</w:t>
      </w:r>
      <w:r w:rsidR="00C93B39">
        <w:rPr>
          <w:rFonts w:ascii="Arial" w:hAnsi="Arial"/>
        </w:rPr>
        <w:t>00</w:t>
      </w:r>
      <w:r>
        <w:rPr>
          <w:rFonts w:ascii="Arial" w:hAnsi="Arial"/>
        </w:rPr>
        <w:tab/>
      </w:r>
      <w:r>
        <w:rPr>
          <w:rFonts w:ascii="Arial" w:hAnsi="Arial"/>
        </w:rPr>
        <w:tab/>
        <w:t xml:space="preserve">Restricted Due </w:t>
      </w:r>
      <w:proofErr w:type="gramStart"/>
      <w:r>
        <w:rPr>
          <w:rFonts w:ascii="Arial" w:hAnsi="Arial"/>
        </w:rPr>
        <w:t>From</w:t>
      </w:r>
      <w:proofErr w:type="gramEnd"/>
      <w:r>
        <w:rPr>
          <w:rFonts w:ascii="Arial" w:hAnsi="Arial"/>
        </w:rPr>
        <w:t xml:space="preserve"> State of NC Component Units</w:t>
      </w:r>
    </w:p>
    <w:p w14:paraId="47C61C7E" w14:textId="30949176" w:rsidR="004E46A3" w:rsidRDefault="004E46A3">
      <w:pPr>
        <w:rPr>
          <w:rFonts w:ascii="Arial" w:hAnsi="Arial"/>
        </w:rPr>
      </w:pPr>
      <w:r>
        <w:rPr>
          <w:rFonts w:ascii="Arial" w:hAnsi="Arial"/>
        </w:rPr>
        <w:t>212600</w:t>
      </w:r>
      <w:r w:rsidR="0064361B">
        <w:rPr>
          <w:rFonts w:ascii="Arial" w:hAnsi="Arial"/>
        </w:rPr>
        <w:t>00</w:t>
      </w:r>
      <w:r>
        <w:rPr>
          <w:rFonts w:ascii="Arial" w:hAnsi="Arial"/>
        </w:rPr>
        <w:tab/>
      </w:r>
      <w:r>
        <w:rPr>
          <w:rFonts w:ascii="Arial" w:hAnsi="Arial"/>
        </w:rPr>
        <w:tab/>
        <w:t xml:space="preserve">Due to State of </w:t>
      </w:r>
      <w:smartTag w:uri="urn:schemas-microsoft-com:office:smarttags" w:element="place">
        <w:smartTag w:uri="urn:schemas-microsoft-com:office:smarttags" w:element="State">
          <w:r>
            <w:rPr>
              <w:rFonts w:ascii="Arial" w:hAnsi="Arial"/>
            </w:rPr>
            <w:t>NC</w:t>
          </w:r>
        </w:smartTag>
      </w:smartTag>
      <w:r>
        <w:rPr>
          <w:rFonts w:ascii="Arial" w:hAnsi="Arial"/>
        </w:rPr>
        <w:t xml:space="preserve"> Component Units</w:t>
      </w:r>
    </w:p>
    <w:p w14:paraId="163FF720" w14:textId="77777777" w:rsidR="004E46A3" w:rsidRDefault="004E46A3">
      <w:pPr>
        <w:rPr>
          <w:rFonts w:ascii="Arial" w:hAnsi="Arial"/>
        </w:rPr>
      </w:pPr>
    </w:p>
    <w:p w14:paraId="2EF848F0" w14:textId="77777777" w:rsidR="004E46A3" w:rsidRDefault="004E46A3">
      <w:pPr>
        <w:rPr>
          <w:rFonts w:ascii="Arial" w:hAnsi="Arial"/>
          <w:b/>
        </w:rPr>
      </w:pPr>
      <w:r>
        <w:rPr>
          <w:rFonts w:ascii="Arial" w:hAnsi="Arial"/>
          <w:b/>
        </w:rPr>
        <w:t>These accounts can be used by component units of the State of NC and primary government agencies when there is a</w:t>
      </w:r>
      <w:r w:rsidR="00CD5B8D">
        <w:rPr>
          <w:rFonts w:ascii="Arial" w:hAnsi="Arial"/>
          <w:b/>
        </w:rPr>
        <w:t>n</w:t>
      </w:r>
      <w:r>
        <w:rPr>
          <w:rFonts w:ascii="Arial" w:hAnsi="Arial"/>
          <w:b/>
        </w:rPr>
        <w:t xml:space="preserve"> inter</w:t>
      </w:r>
      <w:r w:rsidR="00CD5B8D">
        <w:rPr>
          <w:rFonts w:ascii="Arial" w:hAnsi="Arial"/>
          <w:b/>
        </w:rPr>
        <w:t>-entity</w:t>
      </w:r>
      <w:r>
        <w:rPr>
          <w:rFonts w:ascii="Arial" w:hAnsi="Arial"/>
          <w:b/>
        </w:rPr>
        <w:t xml:space="preserve"> relationship with other component units of the State of NC.</w:t>
      </w:r>
    </w:p>
    <w:p w14:paraId="2B1B2B18" w14:textId="77777777" w:rsidR="005329F3" w:rsidRDefault="005329F3">
      <w:pPr>
        <w:rPr>
          <w:rFonts w:ascii="Arial" w:hAnsi="Arial"/>
        </w:rPr>
      </w:pPr>
    </w:p>
    <w:p w14:paraId="3902C6FC" w14:textId="0E7CA890" w:rsidR="004E46A3" w:rsidRDefault="004E46A3" w:rsidP="7B11F79C">
      <w:pPr>
        <w:pStyle w:val="BodyText2"/>
        <w:spacing w:line="240" w:lineRule="auto"/>
        <w:rPr>
          <w:rFonts w:ascii="Arial" w:hAnsi="Arial"/>
          <w:sz w:val="20"/>
        </w:rPr>
      </w:pPr>
      <w:r>
        <w:rPr>
          <w:rFonts w:ascii="Arial" w:hAnsi="Arial"/>
        </w:rPr>
        <w:t>I</w:t>
      </w:r>
      <w:r w:rsidRPr="7B11F79C">
        <w:rPr>
          <w:rFonts w:ascii="Arial" w:hAnsi="Arial"/>
          <w:sz w:val="20"/>
        </w:rPr>
        <w:t xml:space="preserve">n the </w:t>
      </w:r>
      <w:r w:rsidR="008106C3" w:rsidRPr="7B11F79C">
        <w:rPr>
          <w:rFonts w:ascii="Arial" w:hAnsi="Arial"/>
          <w:sz w:val="20"/>
        </w:rPr>
        <w:t>second and third</w:t>
      </w:r>
      <w:r w:rsidRPr="7B11F79C">
        <w:rPr>
          <w:rFonts w:ascii="Arial" w:hAnsi="Arial"/>
          <w:sz w:val="20"/>
        </w:rPr>
        <w:t xml:space="preserve"> columns </w:t>
      </w:r>
      <w:r w:rsidR="00133E17" w:rsidRPr="7B11F79C">
        <w:rPr>
          <w:rFonts w:ascii="Arial" w:hAnsi="Arial"/>
          <w:sz w:val="20"/>
        </w:rPr>
        <w:t xml:space="preserve">in the </w:t>
      </w:r>
      <w:r w:rsidR="008106C3" w:rsidRPr="7B11F79C">
        <w:rPr>
          <w:rFonts w:ascii="Arial" w:hAnsi="Arial"/>
          <w:sz w:val="20"/>
        </w:rPr>
        <w:t>drop-down</w:t>
      </w:r>
      <w:r w:rsidR="00133E17" w:rsidRPr="7B11F79C">
        <w:rPr>
          <w:rFonts w:ascii="Arial" w:hAnsi="Arial"/>
          <w:sz w:val="20"/>
        </w:rPr>
        <w:t xml:space="preserve"> boxes choose</w:t>
      </w:r>
      <w:r w:rsidRPr="7B11F79C">
        <w:rPr>
          <w:rFonts w:ascii="Arial" w:hAnsi="Arial"/>
          <w:sz w:val="20"/>
        </w:rPr>
        <w:t xml:space="preserve"> the Agency and applicable GASB numbers of the agency with which the interfund balance is held. </w:t>
      </w:r>
      <w:r>
        <w:rPr>
          <w:rFonts w:ascii="Arial" w:hAnsi="Arial"/>
        </w:rPr>
        <w:t xml:space="preserve"> </w:t>
      </w:r>
      <w:r w:rsidR="301A557D" w:rsidRPr="7B11F79C">
        <w:rPr>
          <w:rFonts w:ascii="Arial" w:hAnsi="Arial"/>
        </w:rPr>
        <w:t>(</w:t>
      </w:r>
      <w:r w:rsidR="206C5D31" w:rsidRPr="7B11F79C">
        <w:rPr>
          <w:rFonts w:ascii="Arial" w:hAnsi="Arial"/>
          <w:sz w:val="20"/>
        </w:rPr>
        <w:t>C</w:t>
      </w:r>
      <w:r w:rsidR="301A557D" w:rsidRPr="7B11F79C">
        <w:rPr>
          <w:rFonts w:ascii="Arial" w:hAnsi="Arial"/>
          <w:sz w:val="20"/>
        </w:rPr>
        <w:t>hoose the agency number first from the drop-down box before choosing the GASB number</w:t>
      </w:r>
      <w:r w:rsidR="4FA4FE12" w:rsidRPr="7B11F79C">
        <w:rPr>
          <w:rFonts w:ascii="Arial" w:hAnsi="Arial"/>
          <w:sz w:val="20"/>
        </w:rPr>
        <w:t>, so the correct GASB numbers will populate for the agency</w:t>
      </w:r>
      <w:r w:rsidR="301A557D" w:rsidRPr="7B11F79C">
        <w:rPr>
          <w:rFonts w:ascii="Arial" w:hAnsi="Arial"/>
          <w:sz w:val="20"/>
        </w:rPr>
        <w:t xml:space="preserve">.) </w:t>
      </w:r>
      <w:r w:rsidRPr="7B11F79C">
        <w:rPr>
          <w:rFonts w:ascii="Arial" w:hAnsi="Arial"/>
          <w:sz w:val="20"/>
        </w:rPr>
        <w:t>Universities are GASB 4XXX for all transactions.</w:t>
      </w:r>
    </w:p>
    <w:p w14:paraId="1B0A0B7D" w14:textId="77777777" w:rsidR="007E5625" w:rsidRDefault="007E5625">
      <w:pPr>
        <w:rPr>
          <w:rFonts w:ascii="Arial" w:hAnsi="Arial"/>
        </w:rPr>
      </w:pPr>
    </w:p>
    <w:p w14:paraId="0AD4735F" w14:textId="2A131302" w:rsidR="004E46A3" w:rsidRDefault="004E46A3">
      <w:pPr>
        <w:rPr>
          <w:rFonts w:ascii="Arial" w:hAnsi="Arial"/>
        </w:rPr>
      </w:pPr>
      <w:r>
        <w:rPr>
          <w:rFonts w:ascii="Arial" w:hAnsi="Arial"/>
        </w:rPr>
        <w:t>The balances listed in the fourth column must agree to the appropriate 11 statement</w:t>
      </w:r>
      <w:r w:rsidR="001B4859">
        <w:rPr>
          <w:rFonts w:ascii="Arial" w:hAnsi="Arial"/>
        </w:rPr>
        <w:t>/ WS 905 (universities)</w:t>
      </w:r>
      <w:r>
        <w:rPr>
          <w:rFonts w:ascii="Arial" w:hAnsi="Arial"/>
        </w:rPr>
        <w:t xml:space="preserve"> by NC</w:t>
      </w:r>
      <w:r w:rsidR="00B752B6">
        <w:rPr>
          <w:rFonts w:ascii="Arial" w:hAnsi="Arial"/>
        </w:rPr>
        <w:t>F</w:t>
      </w:r>
      <w:r>
        <w:rPr>
          <w:rFonts w:ascii="Arial" w:hAnsi="Arial"/>
        </w:rPr>
        <w:t>S account number.</w:t>
      </w:r>
    </w:p>
    <w:p w14:paraId="135AB651" w14:textId="77777777" w:rsidR="004E46A3" w:rsidRDefault="004E46A3">
      <w:pPr>
        <w:rPr>
          <w:rFonts w:ascii="Arial" w:hAnsi="Arial"/>
        </w:rPr>
      </w:pPr>
    </w:p>
    <w:p w14:paraId="1A10FAC0" w14:textId="0D0AEA3A" w:rsidR="004E46A3" w:rsidRDefault="004E46A3">
      <w:pPr>
        <w:rPr>
          <w:rFonts w:ascii="Arial" w:hAnsi="Arial"/>
        </w:rPr>
      </w:pPr>
      <w:r>
        <w:rPr>
          <w:rFonts w:ascii="Arial" w:hAnsi="Arial"/>
        </w:rPr>
        <w:t>Enter contact information</w:t>
      </w:r>
      <w:r w:rsidR="00C83B66">
        <w:rPr>
          <w:rFonts w:ascii="Arial" w:hAnsi="Arial"/>
        </w:rPr>
        <w:t xml:space="preserve"> and confirmation date</w:t>
      </w:r>
      <w:r>
        <w:rPr>
          <w:rFonts w:ascii="Arial" w:hAnsi="Arial"/>
        </w:rPr>
        <w:t xml:space="preserve"> in the fifth</w:t>
      </w:r>
      <w:r w:rsidR="00C83B66">
        <w:rPr>
          <w:rFonts w:ascii="Arial" w:hAnsi="Arial"/>
        </w:rPr>
        <w:t xml:space="preserve">, </w:t>
      </w:r>
      <w:r>
        <w:rPr>
          <w:rFonts w:ascii="Arial" w:hAnsi="Arial"/>
        </w:rPr>
        <w:t>sixth</w:t>
      </w:r>
      <w:r w:rsidR="00C83B66">
        <w:rPr>
          <w:rFonts w:ascii="Arial" w:hAnsi="Arial"/>
        </w:rPr>
        <w:t>, and seventh</w:t>
      </w:r>
      <w:r>
        <w:rPr>
          <w:rFonts w:ascii="Arial" w:hAnsi="Arial"/>
        </w:rPr>
        <w:t xml:space="preserve"> columns.  All agencies </w:t>
      </w:r>
      <w:r>
        <w:rPr>
          <w:rFonts w:ascii="Arial" w:hAnsi="Arial"/>
          <w:u w:val="single"/>
        </w:rPr>
        <w:t>must</w:t>
      </w:r>
      <w:r>
        <w:rPr>
          <w:rFonts w:ascii="Arial" w:hAnsi="Arial"/>
        </w:rPr>
        <w:t xml:space="preserve"> contact </w:t>
      </w:r>
      <w:r w:rsidR="00C83B66">
        <w:rPr>
          <w:rFonts w:ascii="Arial" w:hAnsi="Arial"/>
        </w:rPr>
        <w:t xml:space="preserve">(via email preferably) </w:t>
      </w:r>
      <w:r>
        <w:rPr>
          <w:rFonts w:ascii="Arial" w:hAnsi="Arial"/>
        </w:rPr>
        <w:t xml:space="preserve">someone at the agency with which they have an interfund balance </w:t>
      </w:r>
      <w:r w:rsidR="007A5D3D">
        <w:rPr>
          <w:rFonts w:ascii="Arial" w:hAnsi="Arial"/>
        </w:rPr>
        <w:t>to</w:t>
      </w:r>
      <w:r>
        <w:rPr>
          <w:rFonts w:ascii="Arial" w:hAnsi="Arial"/>
        </w:rPr>
        <w:t xml:space="preserve"> verify the agency number, GASB number, and amount of each balance.  Confirmation and agreement of the interfund balances between the two agencies involved prior to submission of the </w:t>
      </w:r>
      <w:r w:rsidR="000C7E6E">
        <w:rPr>
          <w:rFonts w:ascii="Arial" w:hAnsi="Arial"/>
        </w:rPr>
        <w:t>A</w:t>
      </w:r>
      <w:r w:rsidR="00015880">
        <w:rPr>
          <w:rFonts w:ascii="Arial" w:hAnsi="Arial"/>
        </w:rPr>
        <w:t>CFR</w:t>
      </w:r>
      <w:r>
        <w:rPr>
          <w:rFonts w:ascii="Arial" w:hAnsi="Arial"/>
        </w:rPr>
        <w:t xml:space="preserve"> package is </w:t>
      </w:r>
      <w:r w:rsidR="00C83B66">
        <w:rPr>
          <w:rFonts w:ascii="Arial" w:hAnsi="Arial"/>
        </w:rPr>
        <w:t xml:space="preserve">critical. </w:t>
      </w:r>
      <w:r w:rsidR="00C83B66" w:rsidRPr="00C83B66">
        <w:rPr>
          <w:rFonts w:ascii="Arial" w:hAnsi="Arial"/>
        </w:rPr>
        <w:t xml:space="preserve">Please </w:t>
      </w:r>
      <w:r w:rsidR="00C83B66">
        <w:rPr>
          <w:rFonts w:ascii="Arial" w:hAnsi="Arial"/>
        </w:rPr>
        <w:t>save/</w:t>
      </w:r>
      <w:r w:rsidR="00C83B66" w:rsidRPr="00C83B66">
        <w:rPr>
          <w:rFonts w:ascii="Arial" w:hAnsi="Arial"/>
        </w:rPr>
        <w:t>file support</w:t>
      </w:r>
      <w:r w:rsidR="00C83B66">
        <w:rPr>
          <w:rFonts w:ascii="Arial" w:hAnsi="Arial"/>
        </w:rPr>
        <w:t>ing</w:t>
      </w:r>
      <w:r w:rsidR="00C83B66" w:rsidRPr="00C83B66">
        <w:rPr>
          <w:rFonts w:ascii="Arial" w:hAnsi="Arial"/>
        </w:rPr>
        <w:t xml:space="preserve"> documentation for further inquiries</w:t>
      </w:r>
      <w:r w:rsidR="00C83B66">
        <w:rPr>
          <w:rFonts w:ascii="Arial" w:hAnsi="Arial"/>
        </w:rPr>
        <w:t xml:space="preserve">.  </w:t>
      </w:r>
    </w:p>
    <w:p w14:paraId="55CC8AFC" w14:textId="77777777" w:rsidR="0060791F" w:rsidRDefault="0060791F">
      <w:pPr>
        <w:rPr>
          <w:rFonts w:ascii="Arial" w:hAnsi="Arial"/>
        </w:rPr>
      </w:pPr>
    </w:p>
    <w:p w14:paraId="26C0A4B8" w14:textId="77777777" w:rsidR="004E46A3" w:rsidRDefault="003C04AF">
      <w:pPr>
        <w:pStyle w:val="BodyText3"/>
        <w:spacing w:line="240" w:lineRule="auto"/>
        <w:rPr>
          <w:rFonts w:ascii="Arial" w:hAnsi="Arial"/>
          <w:caps w:val="0"/>
          <w:smallCaps/>
        </w:rPr>
      </w:pPr>
      <w:r w:rsidRPr="009C64CC">
        <w:rPr>
          <w:rFonts w:ascii="Arial" w:hAnsi="Arial"/>
          <w:caps w:val="0"/>
          <w:smallCaps/>
        </w:rPr>
        <w:t xml:space="preserve">Schedule of </w:t>
      </w:r>
      <w:r w:rsidR="004E46A3" w:rsidRPr="009C64CC">
        <w:rPr>
          <w:rFonts w:ascii="Arial" w:hAnsi="Arial"/>
          <w:caps w:val="0"/>
          <w:smallCaps/>
        </w:rPr>
        <w:t>Advances (535)</w:t>
      </w:r>
    </w:p>
    <w:p w14:paraId="477BEBED" w14:textId="77777777" w:rsidR="009C64CC" w:rsidRPr="009C64CC" w:rsidRDefault="009C64CC">
      <w:pPr>
        <w:pStyle w:val="BodyText3"/>
        <w:spacing w:line="240" w:lineRule="auto"/>
        <w:rPr>
          <w:rFonts w:ascii="Arial" w:hAnsi="Arial"/>
          <w:caps w:val="0"/>
          <w:smallCaps/>
        </w:rPr>
      </w:pPr>
    </w:p>
    <w:p w14:paraId="7816CF11" w14:textId="66F9E4D6" w:rsidR="004E46A3" w:rsidRPr="00C75483" w:rsidRDefault="004E46A3">
      <w:pPr>
        <w:rPr>
          <w:rFonts w:ascii="Arial" w:hAnsi="Arial"/>
        </w:rPr>
      </w:pPr>
      <w:r>
        <w:rPr>
          <w:rFonts w:ascii="Arial" w:hAnsi="Arial"/>
        </w:rPr>
        <w:t xml:space="preserve">Advances are amounts owed, other than charges for goods and services </w:t>
      </w:r>
      <w:proofErr w:type="gramStart"/>
      <w:r>
        <w:rPr>
          <w:rFonts w:ascii="Arial" w:hAnsi="Arial"/>
        </w:rPr>
        <w:t>rendered,</w:t>
      </w:r>
      <w:proofErr w:type="gramEnd"/>
      <w:r>
        <w:rPr>
          <w:rFonts w:ascii="Arial" w:hAnsi="Arial"/>
        </w:rPr>
        <w:t xml:space="preserve"> to a particular fund by another fund in the government reporting entity and that are not due within one year.  The portion of an advance that is due within one year is recorded as an interfund loan.</w:t>
      </w:r>
      <w:r w:rsidR="003A71C0">
        <w:rPr>
          <w:rFonts w:ascii="Arial" w:hAnsi="Arial"/>
          <w:color w:val="FF0000"/>
        </w:rPr>
        <w:t xml:space="preserve"> </w:t>
      </w:r>
      <w:r w:rsidR="003A71C0" w:rsidRPr="00C75483">
        <w:rPr>
          <w:rFonts w:ascii="Arial" w:hAnsi="Arial"/>
        </w:rPr>
        <w:t xml:space="preserve">The coronavirus funds are an exception to this general rule. Coronavirus funds advanced to entities outside of the </w:t>
      </w:r>
      <w:r w:rsidR="00872FFF" w:rsidRPr="00C75483">
        <w:rPr>
          <w:rFonts w:ascii="Arial" w:hAnsi="Arial"/>
        </w:rPr>
        <w:t>State’s financial</w:t>
      </w:r>
      <w:r w:rsidR="003A71C0" w:rsidRPr="00C75483">
        <w:rPr>
          <w:rFonts w:ascii="Arial" w:hAnsi="Arial"/>
        </w:rPr>
        <w:t xml:space="preserve"> reporting entity </w:t>
      </w:r>
      <w:r w:rsidR="00872FFF" w:rsidRPr="00C75483">
        <w:rPr>
          <w:rFonts w:ascii="Arial" w:hAnsi="Arial"/>
        </w:rPr>
        <w:t>sho</w:t>
      </w:r>
      <w:r w:rsidR="003A71C0" w:rsidRPr="00C75483">
        <w:rPr>
          <w:rFonts w:ascii="Arial" w:hAnsi="Arial"/>
        </w:rPr>
        <w:t>uld be recorded as an advance (account 114501</w:t>
      </w:r>
      <w:r w:rsidR="00E3570D">
        <w:rPr>
          <w:rFonts w:ascii="Arial" w:hAnsi="Arial"/>
        </w:rPr>
        <w:t>00</w:t>
      </w:r>
      <w:r w:rsidR="003A71C0" w:rsidRPr="00C75483">
        <w:rPr>
          <w:rFonts w:ascii="Arial" w:hAnsi="Arial"/>
        </w:rPr>
        <w:t>)</w:t>
      </w:r>
      <w:r w:rsidR="00872FFF" w:rsidRPr="00C75483">
        <w:rPr>
          <w:rFonts w:ascii="Arial" w:hAnsi="Arial"/>
        </w:rPr>
        <w:t xml:space="preserve"> if eligibility requirements are not met at year-end</w:t>
      </w:r>
      <w:r w:rsidR="003A71C0" w:rsidRPr="00C75483">
        <w:rPr>
          <w:rFonts w:ascii="Arial" w:hAnsi="Arial"/>
        </w:rPr>
        <w:t>.</w:t>
      </w:r>
    </w:p>
    <w:p w14:paraId="1E12B591" w14:textId="77777777" w:rsidR="004E46A3" w:rsidRDefault="004E46A3">
      <w:pPr>
        <w:rPr>
          <w:rFonts w:ascii="Arial" w:hAnsi="Arial"/>
        </w:rPr>
      </w:pPr>
    </w:p>
    <w:p w14:paraId="4ECC2EDA" w14:textId="35FAFF7B" w:rsidR="004E46A3" w:rsidRDefault="004E46A3">
      <w:pPr>
        <w:rPr>
          <w:rFonts w:ascii="Arial" w:hAnsi="Arial"/>
        </w:rPr>
      </w:pPr>
      <w:r>
        <w:rPr>
          <w:rFonts w:ascii="Arial" w:hAnsi="Arial"/>
        </w:rPr>
        <w:t>This worksheet must be completed for each GASB in which the following NC</w:t>
      </w:r>
      <w:r w:rsidR="00C63B65">
        <w:rPr>
          <w:rFonts w:ascii="Arial" w:hAnsi="Arial"/>
        </w:rPr>
        <w:t>F</w:t>
      </w:r>
      <w:r>
        <w:rPr>
          <w:rFonts w:ascii="Arial" w:hAnsi="Arial"/>
        </w:rPr>
        <w:t>S accounts are used:</w:t>
      </w:r>
    </w:p>
    <w:p w14:paraId="0A2E3D5C" w14:textId="77777777" w:rsidR="004E46A3" w:rsidRDefault="004E46A3">
      <w:pPr>
        <w:rPr>
          <w:rFonts w:ascii="Arial" w:hAnsi="Arial"/>
        </w:rPr>
      </w:pPr>
    </w:p>
    <w:p w14:paraId="64948B0E" w14:textId="199F2023" w:rsidR="00AB46C9" w:rsidRPr="007470B3" w:rsidRDefault="00AB46C9">
      <w:pPr>
        <w:rPr>
          <w:rFonts w:ascii="Arial" w:hAnsi="Arial"/>
        </w:rPr>
      </w:pPr>
      <w:r w:rsidRPr="007470B3">
        <w:rPr>
          <w:rFonts w:ascii="Arial" w:hAnsi="Arial"/>
        </w:rPr>
        <w:t>114501</w:t>
      </w:r>
      <w:r w:rsidR="00E3570D">
        <w:rPr>
          <w:rFonts w:ascii="Arial" w:hAnsi="Arial"/>
        </w:rPr>
        <w:t>00</w:t>
      </w:r>
      <w:r w:rsidRPr="007470B3">
        <w:rPr>
          <w:rFonts w:ascii="Arial" w:hAnsi="Arial"/>
        </w:rPr>
        <w:tab/>
      </w:r>
      <w:r w:rsidRPr="007470B3">
        <w:rPr>
          <w:rFonts w:ascii="Arial" w:hAnsi="Arial"/>
        </w:rPr>
        <w:tab/>
      </w:r>
      <w:r w:rsidRPr="007470B3">
        <w:rPr>
          <w:rFonts w:ascii="Arial" w:hAnsi="Arial"/>
        </w:rPr>
        <w:tab/>
      </w:r>
      <w:r w:rsidR="00C42AB4" w:rsidRPr="007470B3">
        <w:rPr>
          <w:rFonts w:ascii="Arial" w:hAnsi="Arial"/>
        </w:rPr>
        <w:t>Advances</w:t>
      </w:r>
      <w:r w:rsidR="00C632F7" w:rsidRPr="007470B3">
        <w:rPr>
          <w:rFonts w:ascii="Arial" w:hAnsi="Arial"/>
        </w:rPr>
        <w:t xml:space="preserve"> to</w:t>
      </w:r>
      <w:r w:rsidR="00C42AB4" w:rsidRPr="007470B3">
        <w:rPr>
          <w:rFonts w:ascii="Arial" w:hAnsi="Arial"/>
        </w:rPr>
        <w:t xml:space="preserve"> Outside Entities</w:t>
      </w:r>
      <w:r w:rsidRPr="007470B3">
        <w:rPr>
          <w:rFonts w:ascii="Arial" w:hAnsi="Arial"/>
        </w:rPr>
        <w:t xml:space="preserve"> </w:t>
      </w:r>
      <w:proofErr w:type="gramStart"/>
      <w:r w:rsidR="00C42AB4" w:rsidRPr="007470B3">
        <w:rPr>
          <w:rFonts w:ascii="Arial" w:hAnsi="Arial"/>
        </w:rPr>
        <w:tab/>
      </w:r>
      <w:r w:rsidRPr="007470B3">
        <w:rPr>
          <w:rFonts w:ascii="Arial" w:hAnsi="Arial"/>
          <w:b/>
          <w:bCs/>
        </w:rPr>
        <w:t xml:space="preserve">  </w:t>
      </w:r>
      <w:r w:rsidR="00C632F7" w:rsidRPr="007470B3">
        <w:rPr>
          <w:rFonts w:ascii="Arial" w:hAnsi="Arial"/>
          <w:b/>
          <w:bCs/>
        </w:rPr>
        <w:t>(</w:t>
      </w:r>
      <w:proofErr w:type="gramEnd"/>
      <w:r w:rsidR="00C632F7" w:rsidRPr="007470B3">
        <w:rPr>
          <w:rFonts w:ascii="Arial" w:hAnsi="Arial"/>
          <w:b/>
          <w:bCs/>
        </w:rPr>
        <w:t>See instructions below)</w:t>
      </w:r>
    </w:p>
    <w:p w14:paraId="2AF4B5EF" w14:textId="75A440AD" w:rsidR="004E46A3" w:rsidRDefault="004E46A3">
      <w:pPr>
        <w:rPr>
          <w:rFonts w:ascii="Arial" w:hAnsi="Arial"/>
        </w:rPr>
      </w:pPr>
      <w:r>
        <w:rPr>
          <w:rFonts w:ascii="Arial" w:hAnsi="Arial"/>
        </w:rPr>
        <w:t>124310</w:t>
      </w:r>
      <w:r w:rsidR="00E3570D">
        <w:rPr>
          <w:rFonts w:ascii="Arial" w:hAnsi="Arial"/>
        </w:rPr>
        <w:t>00</w:t>
      </w:r>
      <w:r>
        <w:rPr>
          <w:rFonts w:ascii="Arial" w:hAnsi="Arial"/>
        </w:rPr>
        <w:t>-124319</w:t>
      </w:r>
      <w:r w:rsidR="00E3570D">
        <w:rPr>
          <w:rFonts w:ascii="Arial" w:hAnsi="Arial"/>
        </w:rPr>
        <w:t>00</w:t>
      </w:r>
      <w:r>
        <w:rPr>
          <w:rFonts w:ascii="Arial" w:hAnsi="Arial"/>
        </w:rPr>
        <w:tab/>
      </w:r>
      <w:r>
        <w:rPr>
          <w:rFonts w:ascii="Arial" w:hAnsi="Arial"/>
        </w:rPr>
        <w:tab/>
        <w:t xml:space="preserve">Advances </w:t>
      </w:r>
      <w:proofErr w:type="gramStart"/>
      <w:r w:rsidR="006E1EF3">
        <w:rPr>
          <w:rFonts w:ascii="Arial" w:hAnsi="Arial"/>
        </w:rPr>
        <w:t>To</w:t>
      </w:r>
      <w:proofErr w:type="gramEnd"/>
      <w:r w:rsidR="006E1EF3">
        <w:rPr>
          <w:rFonts w:ascii="Arial" w:hAnsi="Arial"/>
        </w:rPr>
        <w:t xml:space="preserve"> Other Funds</w:t>
      </w:r>
    </w:p>
    <w:p w14:paraId="08F45E8E" w14:textId="1D75217B" w:rsidR="006E1EF3" w:rsidRDefault="006E1EF3">
      <w:pPr>
        <w:rPr>
          <w:rFonts w:ascii="Arial" w:hAnsi="Arial"/>
        </w:rPr>
      </w:pPr>
      <w:r>
        <w:rPr>
          <w:rFonts w:ascii="Arial" w:hAnsi="Arial"/>
        </w:rPr>
        <w:t>124600</w:t>
      </w:r>
      <w:r w:rsidR="00E3570D">
        <w:rPr>
          <w:rFonts w:ascii="Arial" w:hAnsi="Arial"/>
        </w:rPr>
        <w:t>00</w:t>
      </w:r>
      <w:r>
        <w:rPr>
          <w:rFonts w:ascii="Arial" w:hAnsi="Arial"/>
        </w:rPr>
        <w:tab/>
      </w:r>
      <w:r>
        <w:rPr>
          <w:rFonts w:ascii="Arial" w:hAnsi="Arial"/>
        </w:rPr>
        <w:tab/>
      </w:r>
      <w:r>
        <w:rPr>
          <w:rFonts w:ascii="Arial" w:hAnsi="Arial"/>
        </w:rPr>
        <w:tab/>
        <w:t xml:space="preserve">Advances </w:t>
      </w:r>
      <w:proofErr w:type="gramStart"/>
      <w:r>
        <w:rPr>
          <w:rFonts w:ascii="Arial" w:hAnsi="Arial"/>
        </w:rPr>
        <w:t>To</w:t>
      </w:r>
      <w:proofErr w:type="gramEnd"/>
      <w:r>
        <w:rPr>
          <w:rFonts w:ascii="Arial" w:hAnsi="Arial"/>
        </w:rPr>
        <w:t xml:space="preserve"> Primary Government Agencies</w:t>
      </w:r>
    </w:p>
    <w:p w14:paraId="21DC2110" w14:textId="2B02BD01" w:rsidR="006E1EF3" w:rsidRDefault="006E1EF3">
      <w:pPr>
        <w:rPr>
          <w:rFonts w:ascii="Arial" w:hAnsi="Arial"/>
        </w:rPr>
      </w:pPr>
      <w:r>
        <w:rPr>
          <w:rFonts w:ascii="Arial" w:hAnsi="Arial"/>
        </w:rPr>
        <w:t>124700</w:t>
      </w:r>
      <w:r w:rsidR="00DE0C1B">
        <w:rPr>
          <w:rFonts w:ascii="Arial" w:hAnsi="Arial"/>
        </w:rPr>
        <w:t>00</w:t>
      </w:r>
      <w:r>
        <w:rPr>
          <w:rFonts w:ascii="Arial" w:hAnsi="Arial"/>
        </w:rPr>
        <w:tab/>
      </w:r>
      <w:r>
        <w:rPr>
          <w:rFonts w:ascii="Arial" w:hAnsi="Arial"/>
        </w:rPr>
        <w:tab/>
      </w:r>
      <w:r>
        <w:rPr>
          <w:rFonts w:ascii="Arial" w:hAnsi="Arial"/>
        </w:rPr>
        <w:tab/>
        <w:t xml:space="preserve">Advances </w:t>
      </w:r>
      <w:proofErr w:type="gramStart"/>
      <w:r>
        <w:rPr>
          <w:rFonts w:ascii="Arial" w:hAnsi="Arial"/>
        </w:rPr>
        <w:t>To</w:t>
      </w:r>
      <w:proofErr w:type="gramEnd"/>
      <w:r>
        <w:rPr>
          <w:rFonts w:ascii="Arial" w:hAnsi="Arial"/>
        </w:rPr>
        <w:t xml:space="preserve"> Component Units</w:t>
      </w:r>
    </w:p>
    <w:p w14:paraId="14ED347D" w14:textId="77777777" w:rsidR="000A4642" w:rsidRDefault="000A4642">
      <w:pPr>
        <w:rPr>
          <w:rFonts w:ascii="Arial" w:hAnsi="Arial"/>
        </w:rPr>
      </w:pPr>
    </w:p>
    <w:p w14:paraId="6B03526F" w14:textId="77777777" w:rsidR="000A4642" w:rsidRDefault="000A4642">
      <w:pPr>
        <w:rPr>
          <w:rFonts w:ascii="Arial" w:hAnsi="Arial"/>
        </w:rPr>
      </w:pPr>
    </w:p>
    <w:p w14:paraId="797E60E9" w14:textId="4A593759" w:rsidR="004E46A3" w:rsidRDefault="004E46A3">
      <w:pPr>
        <w:rPr>
          <w:rFonts w:ascii="Arial" w:hAnsi="Arial"/>
        </w:rPr>
      </w:pPr>
      <w:r>
        <w:rPr>
          <w:rFonts w:ascii="Arial" w:hAnsi="Arial"/>
        </w:rPr>
        <w:t>222310</w:t>
      </w:r>
      <w:r w:rsidR="00DE0C1B">
        <w:rPr>
          <w:rFonts w:ascii="Arial" w:hAnsi="Arial"/>
        </w:rPr>
        <w:t>00</w:t>
      </w:r>
      <w:r>
        <w:rPr>
          <w:rFonts w:ascii="Arial" w:hAnsi="Arial"/>
        </w:rPr>
        <w:t>-222319</w:t>
      </w:r>
      <w:r w:rsidR="00DE0C1B">
        <w:rPr>
          <w:rFonts w:ascii="Arial" w:hAnsi="Arial"/>
        </w:rPr>
        <w:t>00</w:t>
      </w:r>
      <w:r>
        <w:rPr>
          <w:rFonts w:ascii="Arial" w:hAnsi="Arial"/>
        </w:rPr>
        <w:tab/>
      </w:r>
      <w:r>
        <w:rPr>
          <w:rFonts w:ascii="Arial" w:hAnsi="Arial"/>
        </w:rPr>
        <w:tab/>
        <w:t xml:space="preserve">Advances </w:t>
      </w:r>
      <w:proofErr w:type="gramStart"/>
      <w:r w:rsidR="006E1EF3">
        <w:rPr>
          <w:rFonts w:ascii="Arial" w:hAnsi="Arial"/>
        </w:rPr>
        <w:t>From</w:t>
      </w:r>
      <w:proofErr w:type="gramEnd"/>
      <w:r w:rsidR="006E1EF3">
        <w:rPr>
          <w:rFonts w:ascii="Arial" w:hAnsi="Arial"/>
        </w:rPr>
        <w:t xml:space="preserve"> Other Funds</w:t>
      </w:r>
    </w:p>
    <w:p w14:paraId="0058BCC4" w14:textId="1E359EF6" w:rsidR="006E1EF3" w:rsidRDefault="006E1EF3">
      <w:pPr>
        <w:rPr>
          <w:rFonts w:ascii="Arial" w:hAnsi="Arial"/>
        </w:rPr>
      </w:pPr>
      <w:r>
        <w:rPr>
          <w:rFonts w:ascii="Arial" w:hAnsi="Arial"/>
        </w:rPr>
        <w:t>222500</w:t>
      </w:r>
      <w:r w:rsidR="00DE0C1B">
        <w:rPr>
          <w:rFonts w:ascii="Arial" w:hAnsi="Arial"/>
        </w:rPr>
        <w:t>00</w:t>
      </w:r>
      <w:r w:rsidR="00C25702">
        <w:rPr>
          <w:rFonts w:ascii="Arial" w:hAnsi="Arial"/>
        </w:rPr>
        <w:tab/>
      </w:r>
      <w:r w:rsidR="00C25702">
        <w:rPr>
          <w:rFonts w:ascii="Arial" w:hAnsi="Arial"/>
        </w:rPr>
        <w:tab/>
      </w:r>
      <w:r w:rsidR="00C25702">
        <w:rPr>
          <w:rFonts w:ascii="Arial" w:hAnsi="Arial"/>
        </w:rPr>
        <w:tab/>
        <w:t xml:space="preserve">Advances </w:t>
      </w:r>
      <w:proofErr w:type="gramStart"/>
      <w:r w:rsidR="00C25702">
        <w:rPr>
          <w:rFonts w:ascii="Arial" w:hAnsi="Arial"/>
        </w:rPr>
        <w:t>From</w:t>
      </w:r>
      <w:proofErr w:type="gramEnd"/>
      <w:r w:rsidR="00C25702">
        <w:rPr>
          <w:rFonts w:ascii="Arial" w:hAnsi="Arial"/>
        </w:rPr>
        <w:t xml:space="preserve"> Primary </w:t>
      </w:r>
      <w:r>
        <w:rPr>
          <w:rFonts w:ascii="Arial" w:hAnsi="Arial"/>
        </w:rPr>
        <w:t>Government Agencies</w:t>
      </w:r>
    </w:p>
    <w:p w14:paraId="674E50E4" w14:textId="06E8F2AC" w:rsidR="006E1EF3" w:rsidRDefault="006E1EF3">
      <w:pPr>
        <w:rPr>
          <w:rFonts w:ascii="Arial" w:hAnsi="Arial"/>
        </w:rPr>
      </w:pPr>
      <w:r>
        <w:rPr>
          <w:rFonts w:ascii="Arial" w:hAnsi="Arial"/>
        </w:rPr>
        <w:t>222600</w:t>
      </w:r>
      <w:r w:rsidR="00DE0C1B">
        <w:rPr>
          <w:rFonts w:ascii="Arial" w:hAnsi="Arial"/>
        </w:rPr>
        <w:t>00</w:t>
      </w:r>
      <w:r>
        <w:rPr>
          <w:rFonts w:ascii="Arial" w:hAnsi="Arial"/>
        </w:rPr>
        <w:tab/>
      </w:r>
      <w:r>
        <w:rPr>
          <w:rFonts w:ascii="Arial" w:hAnsi="Arial"/>
        </w:rPr>
        <w:tab/>
      </w:r>
      <w:r>
        <w:rPr>
          <w:rFonts w:ascii="Arial" w:hAnsi="Arial"/>
        </w:rPr>
        <w:tab/>
        <w:t xml:space="preserve">Advances </w:t>
      </w:r>
      <w:proofErr w:type="gramStart"/>
      <w:r>
        <w:rPr>
          <w:rFonts w:ascii="Arial" w:hAnsi="Arial"/>
        </w:rPr>
        <w:t>From</w:t>
      </w:r>
      <w:proofErr w:type="gramEnd"/>
      <w:r>
        <w:rPr>
          <w:rFonts w:ascii="Arial" w:hAnsi="Arial"/>
        </w:rPr>
        <w:t xml:space="preserve"> Component Units </w:t>
      </w:r>
    </w:p>
    <w:p w14:paraId="428222AE" w14:textId="77777777" w:rsidR="000A4642" w:rsidRDefault="000A4642">
      <w:pPr>
        <w:rPr>
          <w:rFonts w:ascii="Arial" w:hAnsi="Arial"/>
        </w:rPr>
      </w:pPr>
    </w:p>
    <w:p w14:paraId="15794C00" w14:textId="5A74A59F" w:rsidR="004E46A3" w:rsidRPr="007470B3" w:rsidRDefault="004E46A3">
      <w:pPr>
        <w:rPr>
          <w:rFonts w:ascii="Arial" w:hAnsi="Arial"/>
        </w:rPr>
      </w:pPr>
      <w:r>
        <w:rPr>
          <w:rFonts w:ascii="Arial" w:hAnsi="Arial"/>
        </w:rPr>
        <w:t>Provide a detailed explanation of the advances in the area provided on the worksheet.</w:t>
      </w:r>
      <w:r w:rsidR="00AB46C9">
        <w:rPr>
          <w:rFonts w:ascii="Arial" w:hAnsi="Arial"/>
        </w:rPr>
        <w:t xml:space="preserve"> </w:t>
      </w:r>
      <w:r w:rsidR="00AB46C9" w:rsidRPr="00AB46C9">
        <w:rPr>
          <w:rFonts w:ascii="Arial" w:hAnsi="Arial"/>
          <w:b/>
          <w:bCs/>
          <w:color w:val="FF0000"/>
        </w:rPr>
        <w:t xml:space="preserve"> </w:t>
      </w:r>
      <w:r w:rsidR="00F13C3A" w:rsidRPr="007470B3">
        <w:rPr>
          <w:rFonts w:ascii="Arial" w:hAnsi="Arial"/>
          <w:b/>
          <w:bCs/>
        </w:rPr>
        <w:t xml:space="preserve">In </w:t>
      </w:r>
      <w:r w:rsidR="00AB46C9" w:rsidRPr="007470B3">
        <w:rPr>
          <w:rFonts w:ascii="Arial" w:hAnsi="Arial"/>
          <w:b/>
          <w:bCs/>
        </w:rPr>
        <w:t>FY202</w:t>
      </w:r>
      <w:r w:rsidR="00A9507D">
        <w:rPr>
          <w:rFonts w:ascii="Arial" w:hAnsi="Arial"/>
          <w:b/>
          <w:bCs/>
        </w:rPr>
        <w:t>5</w:t>
      </w:r>
      <w:r w:rsidR="00F13C3A" w:rsidRPr="007470B3">
        <w:rPr>
          <w:rFonts w:ascii="Arial" w:hAnsi="Arial"/>
          <w:b/>
          <w:bCs/>
        </w:rPr>
        <w:t xml:space="preserve"> (as</w:t>
      </w:r>
      <w:r w:rsidR="003F723C" w:rsidRPr="007470B3">
        <w:rPr>
          <w:rFonts w:ascii="Arial" w:hAnsi="Arial"/>
          <w:b/>
          <w:bCs/>
        </w:rPr>
        <w:t xml:space="preserve"> was also required in</w:t>
      </w:r>
      <w:r w:rsidR="00F13C3A" w:rsidRPr="007470B3">
        <w:rPr>
          <w:rFonts w:ascii="Arial" w:hAnsi="Arial"/>
          <w:b/>
          <w:bCs/>
        </w:rPr>
        <w:t xml:space="preserve"> </w:t>
      </w:r>
      <w:r w:rsidR="007E7542" w:rsidRPr="007470B3">
        <w:rPr>
          <w:rFonts w:ascii="Arial" w:hAnsi="Arial"/>
          <w:b/>
          <w:bCs/>
        </w:rPr>
        <w:t>prior fiscal years</w:t>
      </w:r>
      <w:r w:rsidR="00F13C3A" w:rsidRPr="007470B3">
        <w:rPr>
          <w:rFonts w:ascii="Arial" w:hAnsi="Arial"/>
          <w:b/>
          <w:bCs/>
        </w:rPr>
        <w:t>)</w:t>
      </w:r>
      <w:r w:rsidR="00AB46C9" w:rsidRPr="007470B3">
        <w:rPr>
          <w:rFonts w:ascii="Arial" w:hAnsi="Arial"/>
        </w:rPr>
        <w:t>, disclosure is also required for Advances to Entities Outside the State’s Financial Reporting Entity due to funds advanced for</w:t>
      </w:r>
      <w:r w:rsidR="003A71C0" w:rsidRPr="007470B3">
        <w:rPr>
          <w:rFonts w:ascii="Arial" w:hAnsi="Arial"/>
        </w:rPr>
        <w:t xml:space="preserve"> the</w:t>
      </w:r>
      <w:r w:rsidR="00AB46C9" w:rsidRPr="007470B3">
        <w:rPr>
          <w:rFonts w:ascii="Arial" w:hAnsi="Arial"/>
        </w:rPr>
        <w:t xml:space="preserve"> coronavirus</w:t>
      </w:r>
      <w:r w:rsidR="00474A3B" w:rsidRPr="007470B3">
        <w:rPr>
          <w:rFonts w:ascii="Arial" w:hAnsi="Arial"/>
        </w:rPr>
        <w:t>.</w:t>
      </w:r>
      <w:r w:rsidR="001E7C8B" w:rsidRPr="007470B3">
        <w:rPr>
          <w:rFonts w:ascii="Arial" w:hAnsi="Arial"/>
        </w:rPr>
        <w:t xml:space="preserve"> </w:t>
      </w:r>
      <w:r w:rsidR="00C632F7" w:rsidRPr="007470B3">
        <w:rPr>
          <w:rFonts w:ascii="Arial" w:hAnsi="Arial"/>
          <w:u w:val="single"/>
        </w:rPr>
        <w:t>Universities with balances in Account 114501</w:t>
      </w:r>
      <w:r w:rsidR="00D43A1E">
        <w:rPr>
          <w:rFonts w:ascii="Arial" w:hAnsi="Arial"/>
          <w:u w:val="single"/>
        </w:rPr>
        <w:t>00</w:t>
      </w:r>
      <w:r w:rsidR="00C632F7" w:rsidRPr="007470B3">
        <w:rPr>
          <w:rFonts w:ascii="Arial" w:hAnsi="Arial"/>
          <w:u w:val="single"/>
        </w:rPr>
        <w:t xml:space="preserve"> </w:t>
      </w:r>
      <w:r w:rsidR="00474A3B" w:rsidRPr="007470B3">
        <w:rPr>
          <w:rFonts w:ascii="Arial" w:hAnsi="Arial"/>
          <w:u w:val="single"/>
        </w:rPr>
        <w:t xml:space="preserve">(refer to the 905) </w:t>
      </w:r>
      <w:r w:rsidR="00C632F7" w:rsidRPr="007470B3">
        <w:rPr>
          <w:rFonts w:ascii="Arial" w:hAnsi="Arial"/>
          <w:u w:val="single"/>
        </w:rPr>
        <w:t>are also required to disclose those balances on this worksheet</w:t>
      </w:r>
      <w:r w:rsidR="00C632F7" w:rsidRPr="007470B3">
        <w:rPr>
          <w:rFonts w:ascii="Arial" w:hAnsi="Arial"/>
        </w:rPr>
        <w:t xml:space="preserve">. Universities are not required to disclose other balances on this worksheet, consistent with prior years. Advances to Outside Entities should be identified separately by including a description of the transaction in the “Detailed Explanation” lines. In the “Detailed Explanation” line indicate if the advance to outside entities is for </w:t>
      </w:r>
      <w:r w:rsidR="00872FFF" w:rsidRPr="007470B3">
        <w:rPr>
          <w:rFonts w:ascii="Arial" w:hAnsi="Arial"/>
        </w:rPr>
        <w:t xml:space="preserve">(1) </w:t>
      </w:r>
      <w:r w:rsidR="000D7A35" w:rsidRPr="007470B3">
        <w:rPr>
          <w:rFonts w:ascii="Arial" w:hAnsi="Arial"/>
        </w:rPr>
        <w:t>CARES Act C</w:t>
      </w:r>
      <w:r w:rsidR="00C632F7" w:rsidRPr="007470B3">
        <w:rPr>
          <w:rFonts w:ascii="Arial" w:hAnsi="Arial"/>
        </w:rPr>
        <w:t xml:space="preserve">oronavirus </w:t>
      </w:r>
      <w:r w:rsidR="000D7A35" w:rsidRPr="007470B3">
        <w:rPr>
          <w:rFonts w:ascii="Arial" w:hAnsi="Arial"/>
        </w:rPr>
        <w:t>R</w:t>
      </w:r>
      <w:r w:rsidR="00C632F7" w:rsidRPr="007470B3">
        <w:rPr>
          <w:rFonts w:ascii="Arial" w:hAnsi="Arial"/>
        </w:rPr>
        <w:t xml:space="preserve">elief </w:t>
      </w:r>
      <w:r w:rsidR="000D7A35" w:rsidRPr="007470B3">
        <w:rPr>
          <w:rFonts w:ascii="Arial" w:hAnsi="Arial"/>
        </w:rPr>
        <w:t>F</w:t>
      </w:r>
      <w:r w:rsidR="00C632F7" w:rsidRPr="007470B3">
        <w:rPr>
          <w:rFonts w:ascii="Arial" w:hAnsi="Arial"/>
        </w:rPr>
        <w:t>unds</w:t>
      </w:r>
      <w:r w:rsidR="000D7A35" w:rsidRPr="007470B3">
        <w:rPr>
          <w:rFonts w:ascii="Arial" w:hAnsi="Arial"/>
        </w:rPr>
        <w:t xml:space="preserve"> (CR</w:t>
      </w:r>
      <w:r w:rsidR="0071556F" w:rsidRPr="007470B3">
        <w:rPr>
          <w:rFonts w:ascii="Arial" w:hAnsi="Arial"/>
        </w:rPr>
        <w:t>F</w:t>
      </w:r>
      <w:r w:rsidR="000D7A35" w:rsidRPr="007470B3">
        <w:rPr>
          <w:rFonts w:ascii="Arial" w:hAnsi="Arial"/>
        </w:rPr>
        <w:t>)</w:t>
      </w:r>
      <w:r w:rsidR="00872FFF" w:rsidRPr="007470B3">
        <w:rPr>
          <w:rFonts w:ascii="Arial" w:hAnsi="Arial"/>
        </w:rPr>
        <w:t xml:space="preserve">, (2) American Rescue Plan </w:t>
      </w:r>
      <w:r w:rsidR="000D7A35" w:rsidRPr="007470B3">
        <w:rPr>
          <w:rFonts w:ascii="Arial" w:hAnsi="Arial"/>
        </w:rPr>
        <w:t xml:space="preserve">Act </w:t>
      </w:r>
      <w:r w:rsidR="00872FFF" w:rsidRPr="007470B3">
        <w:rPr>
          <w:rFonts w:ascii="Arial" w:hAnsi="Arial"/>
        </w:rPr>
        <w:t>(ARP</w:t>
      </w:r>
      <w:r w:rsidR="000D7A35" w:rsidRPr="007470B3">
        <w:rPr>
          <w:rFonts w:ascii="Arial" w:hAnsi="Arial"/>
        </w:rPr>
        <w:t>A</w:t>
      </w:r>
      <w:r w:rsidR="00872FFF" w:rsidRPr="007470B3">
        <w:rPr>
          <w:rFonts w:ascii="Arial" w:hAnsi="Arial"/>
        </w:rPr>
        <w:t xml:space="preserve">) </w:t>
      </w:r>
      <w:r w:rsidR="00872FFF" w:rsidRPr="007470B3">
        <w:rPr>
          <w:rFonts w:ascii="Arial" w:hAnsi="Arial"/>
        </w:rPr>
        <w:lastRenderedPageBreak/>
        <w:t>State</w:t>
      </w:r>
      <w:r w:rsidR="000D7A35" w:rsidRPr="007470B3">
        <w:rPr>
          <w:rFonts w:ascii="Arial" w:hAnsi="Arial"/>
        </w:rPr>
        <w:t xml:space="preserve"> </w:t>
      </w:r>
      <w:r w:rsidR="00872FFF" w:rsidRPr="007470B3">
        <w:rPr>
          <w:rFonts w:ascii="Arial" w:hAnsi="Arial"/>
        </w:rPr>
        <w:t>Fiscal Recovery Funds</w:t>
      </w:r>
      <w:r w:rsidR="000D7A35" w:rsidRPr="007470B3">
        <w:rPr>
          <w:rFonts w:ascii="Arial" w:hAnsi="Arial"/>
        </w:rPr>
        <w:t xml:space="preserve"> (SFRF)</w:t>
      </w:r>
      <w:r w:rsidR="00872FFF" w:rsidRPr="007470B3">
        <w:rPr>
          <w:rFonts w:ascii="Arial" w:hAnsi="Arial"/>
        </w:rPr>
        <w:t xml:space="preserve">, OR (3) </w:t>
      </w:r>
      <w:r w:rsidR="00C632F7" w:rsidRPr="007470B3">
        <w:rPr>
          <w:rFonts w:ascii="Arial" w:hAnsi="Arial"/>
        </w:rPr>
        <w:t xml:space="preserve">other coronavirus funds separately. OSC must be able to identify the </w:t>
      </w:r>
      <w:r w:rsidR="000D7A35" w:rsidRPr="007470B3">
        <w:rPr>
          <w:rFonts w:ascii="Arial" w:hAnsi="Arial"/>
        </w:rPr>
        <w:t>CARES C</w:t>
      </w:r>
      <w:r w:rsidR="00C632F7" w:rsidRPr="007470B3">
        <w:rPr>
          <w:rFonts w:ascii="Arial" w:hAnsi="Arial"/>
        </w:rPr>
        <w:t xml:space="preserve">oronavirus </w:t>
      </w:r>
      <w:r w:rsidR="000D7A35" w:rsidRPr="007470B3">
        <w:rPr>
          <w:rFonts w:ascii="Arial" w:hAnsi="Arial"/>
        </w:rPr>
        <w:t>R</w:t>
      </w:r>
      <w:r w:rsidR="00C632F7" w:rsidRPr="007470B3">
        <w:rPr>
          <w:rFonts w:ascii="Arial" w:hAnsi="Arial"/>
        </w:rPr>
        <w:t>elie</w:t>
      </w:r>
      <w:r w:rsidR="000D7A35" w:rsidRPr="007470B3">
        <w:rPr>
          <w:rFonts w:ascii="Arial" w:hAnsi="Arial"/>
        </w:rPr>
        <w:t>f F</w:t>
      </w:r>
      <w:r w:rsidR="00C632F7" w:rsidRPr="007470B3">
        <w:rPr>
          <w:rFonts w:ascii="Arial" w:hAnsi="Arial"/>
        </w:rPr>
        <w:t xml:space="preserve">unds </w:t>
      </w:r>
      <w:r w:rsidR="00872FFF" w:rsidRPr="007470B3">
        <w:rPr>
          <w:rFonts w:ascii="Arial" w:hAnsi="Arial"/>
        </w:rPr>
        <w:t>and ARP</w:t>
      </w:r>
      <w:r w:rsidR="000D7A35" w:rsidRPr="007470B3">
        <w:rPr>
          <w:rFonts w:ascii="Arial" w:hAnsi="Arial"/>
        </w:rPr>
        <w:t>A</w:t>
      </w:r>
      <w:r w:rsidR="00872FFF" w:rsidRPr="007470B3">
        <w:rPr>
          <w:rFonts w:ascii="Arial" w:hAnsi="Arial"/>
        </w:rPr>
        <w:t xml:space="preserve"> State Fiscal Recovery Funds </w:t>
      </w:r>
      <w:r w:rsidR="00C632F7" w:rsidRPr="007470B3">
        <w:rPr>
          <w:rFonts w:ascii="Arial" w:hAnsi="Arial"/>
        </w:rPr>
        <w:t>separately from other coronavirus funds.</w:t>
      </w:r>
      <w:r w:rsidR="00262FE3" w:rsidRPr="007470B3">
        <w:rPr>
          <w:rFonts w:ascii="Arial" w:hAnsi="Arial"/>
        </w:rPr>
        <w:t xml:space="preserve">  </w:t>
      </w:r>
      <w:r w:rsidR="00ED4F42">
        <w:rPr>
          <w:rFonts w:ascii="Arial" w:hAnsi="Arial"/>
        </w:rPr>
        <w:t xml:space="preserve">Please provide </w:t>
      </w:r>
      <w:r w:rsidR="0067331B">
        <w:rPr>
          <w:rFonts w:ascii="Arial" w:hAnsi="Arial"/>
        </w:rPr>
        <w:t xml:space="preserve">the account number, </w:t>
      </w:r>
      <w:r w:rsidR="00A56EE1">
        <w:rPr>
          <w:rFonts w:ascii="Arial" w:hAnsi="Arial"/>
        </w:rPr>
        <w:t>t</w:t>
      </w:r>
      <w:r w:rsidR="00262FE3" w:rsidRPr="007470B3">
        <w:rPr>
          <w:rFonts w:ascii="Arial" w:hAnsi="Arial"/>
        </w:rPr>
        <w:t>he payee agency number, payee GASB number, and payee contact information.</w:t>
      </w:r>
      <w:r w:rsidR="007E3B09">
        <w:rPr>
          <w:rFonts w:ascii="Arial" w:hAnsi="Arial"/>
        </w:rPr>
        <w:t xml:space="preserve"> </w:t>
      </w:r>
      <w:r w:rsidR="0AE65DA5" w:rsidRPr="7B11F79C">
        <w:rPr>
          <w:rFonts w:ascii="Arial" w:hAnsi="Arial"/>
        </w:rPr>
        <w:t xml:space="preserve">Choose the agency number first from the drop-down box before choosing the GASB number, so the correct GASB numbers will populate for the agency. </w:t>
      </w:r>
      <w:r w:rsidR="007E3B09">
        <w:rPr>
          <w:rFonts w:ascii="Arial" w:hAnsi="Arial"/>
        </w:rPr>
        <w:t>I</w:t>
      </w:r>
      <w:r w:rsidR="00465FBF">
        <w:rPr>
          <w:rFonts w:ascii="Arial" w:hAnsi="Arial"/>
        </w:rPr>
        <w:t xml:space="preserve">f the payee is an outside entity, please choose </w:t>
      </w:r>
      <w:r w:rsidR="00720DB7">
        <w:rPr>
          <w:rFonts w:ascii="Arial" w:hAnsi="Arial"/>
        </w:rPr>
        <w:t>“Outside Entity” under the payee agency number dropdown box</w:t>
      </w:r>
      <w:r w:rsidR="00262FE3" w:rsidRPr="007470B3">
        <w:rPr>
          <w:rFonts w:ascii="Arial" w:hAnsi="Arial"/>
        </w:rPr>
        <w:t xml:space="preserve">.  </w:t>
      </w:r>
    </w:p>
    <w:p w14:paraId="696546DB" w14:textId="77777777" w:rsidR="000A4642" w:rsidRDefault="000A4642">
      <w:pPr>
        <w:pStyle w:val="BodyText3"/>
        <w:spacing w:line="240" w:lineRule="auto"/>
        <w:rPr>
          <w:rFonts w:ascii="Arial" w:hAnsi="Arial"/>
          <w:caps w:val="0"/>
        </w:rPr>
      </w:pPr>
    </w:p>
    <w:p w14:paraId="7E2FD3F4" w14:textId="12544BAD" w:rsidR="00FE1494" w:rsidRDefault="007D679F">
      <w:pPr>
        <w:pStyle w:val="BodyText3"/>
        <w:spacing w:line="240" w:lineRule="auto"/>
        <w:rPr>
          <w:rFonts w:ascii="Arial" w:hAnsi="Arial"/>
          <w:caps w:val="0"/>
          <w:smallCaps/>
        </w:rPr>
      </w:pPr>
      <w:r>
        <w:rPr>
          <w:rFonts w:ascii="Arial" w:hAnsi="Arial"/>
          <w:caps w:val="0"/>
          <w:smallCaps/>
        </w:rPr>
        <w:t xml:space="preserve">SCHUDULE OF </w:t>
      </w:r>
      <w:r w:rsidR="00BD6EE3">
        <w:rPr>
          <w:rFonts w:ascii="Arial" w:hAnsi="Arial"/>
          <w:caps w:val="0"/>
          <w:smallCaps/>
        </w:rPr>
        <w:t>TRANSACTIONS BETWEEN NC COMPONENT UNITS</w:t>
      </w:r>
      <w:r w:rsidR="00025EB9">
        <w:rPr>
          <w:rFonts w:ascii="Arial" w:hAnsi="Arial"/>
          <w:caps w:val="0"/>
          <w:smallCaps/>
        </w:rPr>
        <w:t xml:space="preserve"> (536) </w:t>
      </w:r>
    </w:p>
    <w:p w14:paraId="6BDB1C01" w14:textId="77777777" w:rsidR="00BD6EE3" w:rsidRDefault="00BD6EE3">
      <w:pPr>
        <w:pStyle w:val="BodyText3"/>
        <w:spacing w:line="240" w:lineRule="auto"/>
        <w:rPr>
          <w:rFonts w:ascii="Arial" w:hAnsi="Arial"/>
          <w:caps w:val="0"/>
          <w:smallCaps/>
        </w:rPr>
      </w:pPr>
    </w:p>
    <w:p w14:paraId="29C96EE1" w14:textId="2C518C43" w:rsidR="00F068CB" w:rsidRPr="00453525" w:rsidRDefault="00F068CB" w:rsidP="00F068CB">
      <w:pPr>
        <w:rPr>
          <w:rFonts w:ascii="Arial" w:hAnsi="Arial"/>
        </w:rPr>
      </w:pPr>
      <w:r w:rsidRPr="00453525">
        <w:rPr>
          <w:rFonts w:ascii="Arial" w:hAnsi="Arial"/>
        </w:rPr>
        <w:t>The purpose of this worksheet is to capture transaction</w:t>
      </w:r>
      <w:r w:rsidR="00CB533C" w:rsidRPr="00453525">
        <w:rPr>
          <w:rFonts w:ascii="Arial" w:hAnsi="Arial"/>
        </w:rPr>
        <w:t>s for ACFR elimination</w:t>
      </w:r>
      <w:r w:rsidRPr="00453525">
        <w:rPr>
          <w:rFonts w:ascii="Arial" w:hAnsi="Arial"/>
        </w:rPr>
        <w:t>.</w:t>
      </w:r>
    </w:p>
    <w:p w14:paraId="1875B878" w14:textId="77777777" w:rsidR="00F068CB" w:rsidRDefault="00F068CB" w:rsidP="00F068CB">
      <w:pPr>
        <w:rPr>
          <w:rFonts w:ascii="Arial" w:hAnsi="Arial"/>
          <w:b/>
        </w:rPr>
      </w:pPr>
    </w:p>
    <w:p w14:paraId="17BF46EE" w14:textId="7C1E2EE5" w:rsidR="00BD04D7" w:rsidRPr="00453525" w:rsidRDefault="00BD6EE3">
      <w:pPr>
        <w:pStyle w:val="BodyText3"/>
        <w:spacing w:line="240" w:lineRule="auto"/>
        <w:rPr>
          <w:rFonts w:ascii="Arial" w:hAnsi="Arial"/>
          <w:b w:val="0"/>
          <w:caps w:val="0"/>
          <w:sz w:val="20"/>
          <w:u w:val="none"/>
        </w:rPr>
      </w:pPr>
      <w:r>
        <w:rPr>
          <w:rFonts w:ascii="Arial" w:hAnsi="Arial"/>
          <w:b w:val="0"/>
          <w:caps w:val="0"/>
          <w:sz w:val="20"/>
          <w:u w:val="none"/>
        </w:rPr>
        <w:t xml:space="preserve">This worksheet is </w:t>
      </w:r>
      <w:r w:rsidR="002259B7">
        <w:rPr>
          <w:rFonts w:ascii="Arial" w:hAnsi="Arial"/>
          <w:b w:val="0"/>
          <w:caps w:val="0"/>
          <w:sz w:val="20"/>
          <w:u w:val="none"/>
        </w:rPr>
        <w:t xml:space="preserve">only </w:t>
      </w:r>
      <w:r w:rsidR="00535E67">
        <w:rPr>
          <w:rFonts w:ascii="Arial" w:hAnsi="Arial"/>
          <w:b w:val="0"/>
          <w:caps w:val="0"/>
          <w:sz w:val="20"/>
          <w:u w:val="none"/>
        </w:rPr>
        <w:t>used by the UNC System Entities</w:t>
      </w:r>
      <w:r w:rsidR="002259B7">
        <w:rPr>
          <w:rFonts w:ascii="Arial" w:hAnsi="Arial"/>
          <w:b w:val="0"/>
          <w:caps w:val="0"/>
          <w:sz w:val="20"/>
          <w:u w:val="none"/>
        </w:rPr>
        <w:t xml:space="preserve"> </w:t>
      </w:r>
      <w:r w:rsidR="00535E67">
        <w:rPr>
          <w:rFonts w:ascii="Arial" w:hAnsi="Arial"/>
          <w:b w:val="0"/>
          <w:caps w:val="0"/>
          <w:sz w:val="20"/>
          <w:u w:val="none"/>
        </w:rPr>
        <w:t xml:space="preserve">to record the transactions between Project Kitty Hawk and </w:t>
      </w:r>
      <w:r w:rsidR="00025EB9">
        <w:rPr>
          <w:rFonts w:ascii="Arial" w:hAnsi="Arial"/>
          <w:b w:val="0"/>
          <w:caps w:val="0"/>
          <w:sz w:val="20"/>
          <w:u w:val="none"/>
        </w:rPr>
        <w:t>other UNC Systems entities</w:t>
      </w:r>
      <w:r w:rsidR="008A0B64">
        <w:rPr>
          <w:rFonts w:ascii="Arial" w:hAnsi="Arial"/>
          <w:b w:val="0"/>
          <w:caps w:val="0"/>
          <w:sz w:val="20"/>
          <w:u w:val="none"/>
        </w:rPr>
        <w:t xml:space="preserve"> </w:t>
      </w:r>
      <w:r w:rsidR="00295F84">
        <w:rPr>
          <w:rFonts w:ascii="Arial" w:hAnsi="Arial"/>
          <w:b w:val="0"/>
          <w:caps w:val="0"/>
          <w:sz w:val="20"/>
          <w:u w:val="none"/>
        </w:rPr>
        <w:t xml:space="preserve">that </w:t>
      </w:r>
      <w:r w:rsidR="00FD16D0">
        <w:rPr>
          <w:rFonts w:ascii="Arial" w:hAnsi="Arial"/>
          <w:b w:val="0"/>
          <w:caps w:val="0"/>
          <w:sz w:val="20"/>
          <w:u w:val="none"/>
        </w:rPr>
        <w:t>participate</w:t>
      </w:r>
      <w:r w:rsidR="00295F84">
        <w:rPr>
          <w:rFonts w:ascii="Arial" w:hAnsi="Arial"/>
          <w:b w:val="0"/>
          <w:caps w:val="0"/>
          <w:sz w:val="20"/>
          <w:u w:val="none"/>
        </w:rPr>
        <w:t xml:space="preserve"> in the</w:t>
      </w:r>
      <w:r w:rsidR="008A0B64">
        <w:rPr>
          <w:rFonts w:ascii="Arial" w:hAnsi="Arial"/>
          <w:b w:val="0"/>
          <w:caps w:val="0"/>
          <w:sz w:val="20"/>
          <w:u w:val="none"/>
        </w:rPr>
        <w:t xml:space="preserve"> </w:t>
      </w:r>
      <w:r w:rsidR="00295F84">
        <w:rPr>
          <w:rFonts w:ascii="Arial" w:hAnsi="Arial"/>
          <w:b w:val="0"/>
          <w:caps w:val="0"/>
          <w:sz w:val="20"/>
          <w:u w:val="none"/>
        </w:rPr>
        <w:t xml:space="preserve">online program set up. Each </w:t>
      </w:r>
      <w:r w:rsidR="002137BC">
        <w:rPr>
          <w:rFonts w:ascii="Arial" w:hAnsi="Arial"/>
          <w:b w:val="0"/>
          <w:caps w:val="0"/>
          <w:sz w:val="20"/>
          <w:u w:val="none"/>
        </w:rPr>
        <w:t xml:space="preserve">participating </w:t>
      </w:r>
      <w:r w:rsidR="00295F84">
        <w:rPr>
          <w:rFonts w:ascii="Arial" w:hAnsi="Arial"/>
          <w:b w:val="0"/>
          <w:caps w:val="0"/>
          <w:sz w:val="20"/>
          <w:u w:val="none"/>
        </w:rPr>
        <w:t xml:space="preserve">entity will provide the summary balance </w:t>
      </w:r>
      <w:r w:rsidR="00E628D0">
        <w:rPr>
          <w:rFonts w:ascii="Arial" w:hAnsi="Arial"/>
          <w:b w:val="0"/>
          <w:caps w:val="0"/>
          <w:sz w:val="20"/>
          <w:u w:val="none"/>
        </w:rPr>
        <w:t xml:space="preserve">for each account </w:t>
      </w:r>
      <w:r w:rsidR="006D6E0B">
        <w:rPr>
          <w:rFonts w:ascii="Arial" w:hAnsi="Arial"/>
          <w:b w:val="0"/>
          <w:caps w:val="0"/>
          <w:sz w:val="20"/>
          <w:u w:val="none"/>
        </w:rPr>
        <w:t xml:space="preserve">(both debit and credit) </w:t>
      </w:r>
      <w:r w:rsidR="00E628D0">
        <w:rPr>
          <w:rFonts w:ascii="Arial" w:hAnsi="Arial"/>
          <w:b w:val="0"/>
          <w:caps w:val="0"/>
          <w:sz w:val="20"/>
          <w:u w:val="none"/>
        </w:rPr>
        <w:t xml:space="preserve">on </w:t>
      </w:r>
      <w:r w:rsidR="00BD04D7">
        <w:rPr>
          <w:rFonts w:ascii="Arial" w:hAnsi="Arial"/>
          <w:b w:val="0"/>
          <w:caps w:val="0"/>
          <w:sz w:val="20"/>
          <w:u w:val="none"/>
        </w:rPr>
        <w:t>worksheet</w:t>
      </w:r>
      <w:r w:rsidR="00E628D0">
        <w:rPr>
          <w:rFonts w:ascii="Arial" w:hAnsi="Arial"/>
          <w:b w:val="0"/>
          <w:caps w:val="0"/>
          <w:sz w:val="20"/>
          <w:u w:val="none"/>
        </w:rPr>
        <w:t xml:space="preserve"> 905 related to the </w:t>
      </w:r>
      <w:r w:rsidR="003D290C">
        <w:rPr>
          <w:rFonts w:ascii="Arial" w:hAnsi="Arial"/>
          <w:b w:val="0"/>
          <w:caps w:val="0"/>
          <w:sz w:val="20"/>
          <w:u w:val="none"/>
        </w:rPr>
        <w:t xml:space="preserve">online program activity during the fiscal year. </w:t>
      </w:r>
      <w:r w:rsidR="004074CF">
        <w:rPr>
          <w:rFonts w:ascii="Arial" w:hAnsi="Arial"/>
          <w:b w:val="0"/>
          <w:caps w:val="0"/>
          <w:sz w:val="20"/>
          <w:u w:val="none"/>
        </w:rPr>
        <w:t xml:space="preserve"> Please ensure that total debit equals to total credit, and the amount agrees to </w:t>
      </w:r>
      <w:r w:rsidR="000B4347">
        <w:rPr>
          <w:rFonts w:ascii="Arial" w:hAnsi="Arial"/>
          <w:b w:val="0"/>
          <w:caps w:val="0"/>
          <w:sz w:val="20"/>
          <w:u w:val="none"/>
        </w:rPr>
        <w:t xml:space="preserve">another party. </w:t>
      </w:r>
    </w:p>
    <w:p w14:paraId="6F908FBC" w14:textId="77777777" w:rsidR="00C44FAB" w:rsidRDefault="00C44FAB">
      <w:pPr>
        <w:pStyle w:val="BodyText3"/>
        <w:spacing w:line="240" w:lineRule="auto"/>
        <w:rPr>
          <w:rFonts w:ascii="Arial" w:hAnsi="Arial"/>
          <w:caps w:val="0"/>
          <w:smallCaps/>
        </w:rPr>
      </w:pPr>
    </w:p>
    <w:p w14:paraId="6D5C3BDD" w14:textId="0895A2BB" w:rsidR="004E46A3" w:rsidRPr="009C64CC" w:rsidRDefault="005167CE">
      <w:pPr>
        <w:pStyle w:val="BodyText3"/>
        <w:spacing w:line="240" w:lineRule="auto"/>
        <w:rPr>
          <w:rFonts w:ascii="Arial" w:hAnsi="Arial"/>
          <w:caps w:val="0"/>
          <w:smallCaps/>
        </w:rPr>
      </w:pPr>
      <w:r w:rsidRPr="009C64CC">
        <w:rPr>
          <w:rFonts w:ascii="Arial" w:hAnsi="Arial"/>
          <w:caps w:val="0"/>
          <w:smallCaps/>
        </w:rPr>
        <w:t>T</w:t>
      </w:r>
      <w:r w:rsidR="004E46A3" w:rsidRPr="009C64CC">
        <w:rPr>
          <w:rFonts w:ascii="Arial" w:hAnsi="Arial"/>
          <w:caps w:val="0"/>
          <w:smallCaps/>
        </w:rPr>
        <w:t xml:space="preserve">ransfers </w:t>
      </w:r>
      <w:r w:rsidR="007842F0" w:rsidRPr="009C64CC">
        <w:rPr>
          <w:rFonts w:ascii="Arial" w:hAnsi="Arial"/>
          <w:caps w:val="0"/>
          <w:smallCaps/>
        </w:rPr>
        <w:t>Overview (Worksheet</w:t>
      </w:r>
      <w:r w:rsidR="004B27AE" w:rsidRPr="009C64CC">
        <w:rPr>
          <w:rFonts w:ascii="Arial" w:hAnsi="Arial"/>
          <w:caps w:val="0"/>
          <w:smallCaps/>
        </w:rPr>
        <w:t xml:space="preserve"> 54</w:t>
      </w:r>
      <w:r w:rsidR="00F10AD0">
        <w:rPr>
          <w:rFonts w:ascii="Arial" w:hAnsi="Arial"/>
          <w:caps w:val="0"/>
          <w:smallCaps/>
        </w:rPr>
        <w:t>2</w:t>
      </w:r>
      <w:r w:rsidR="004B27AE" w:rsidRPr="009C64CC">
        <w:rPr>
          <w:rFonts w:ascii="Arial" w:hAnsi="Arial"/>
          <w:caps w:val="0"/>
          <w:smallCaps/>
        </w:rPr>
        <w:t>)</w:t>
      </w:r>
      <w:r w:rsidR="007842F0" w:rsidRPr="009C64CC">
        <w:rPr>
          <w:rFonts w:ascii="Arial" w:hAnsi="Arial"/>
          <w:caps w:val="0"/>
          <w:smallCaps/>
        </w:rPr>
        <w:t xml:space="preserve"> </w:t>
      </w:r>
    </w:p>
    <w:p w14:paraId="0671743E" w14:textId="77777777" w:rsidR="004E46A3" w:rsidRDefault="004E46A3">
      <w:pPr>
        <w:rPr>
          <w:rFonts w:ascii="Arial" w:hAnsi="Arial"/>
          <w:sz w:val="24"/>
          <w:u w:val="single"/>
        </w:rPr>
      </w:pPr>
    </w:p>
    <w:p w14:paraId="690367B7" w14:textId="66E8FE25" w:rsidR="00D527ED" w:rsidRDefault="00D33716" w:rsidP="00C94149">
      <w:pPr>
        <w:spacing w:line="240" w:lineRule="exact"/>
        <w:rPr>
          <w:rFonts w:ascii="Arial" w:hAnsi="Arial"/>
        </w:rPr>
      </w:pPr>
      <w:r>
        <w:rPr>
          <w:rFonts w:ascii="Arial" w:hAnsi="Arial"/>
        </w:rPr>
        <w:t>Effective</w:t>
      </w:r>
      <w:r w:rsidR="00734D93">
        <w:rPr>
          <w:rFonts w:ascii="Arial" w:hAnsi="Arial"/>
        </w:rPr>
        <w:t xml:space="preserve"> last fiscal year (FY</w:t>
      </w:r>
      <w:r w:rsidR="00D527ED" w:rsidRPr="00C94149">
        <w:rPr>
          <w:rFonts w:ascii="Arial" w:hAnsi="Arial"/>
        </w:rPr>
        <w:t>24</w:t>
      </w:r>
      <w:r w:rsidR="00734D93">
        <w:rPr>
          <w:rFonts w:ascii="Arial" w:hAnsi="Arial"/>
        </w:rPr>
        <w:t>)</w:t>
      </w:r>
      <w:r w:rsidR="00D527ED" w:rsidRPr="00C94149">
        <w:rPr>
          <w:rFonts w:ascii="Arial" w:hAnsi="Arial"/>
        </w:rPr>
        <w:t>, transfer worksheet, 542 – Schedule of Transfers – Summary Explanations and Certification</w:t>
      </w:r>
      <w:r>
        <w:rPr>
          <w:rFonts w:ascii="Arial" w:hAnsi="Arial"/>
        </w:rPr>
        <w:t xml:space="preserve"> is the only statewide transfer worksheet that is required to be completed by agencies for the ACFR package</w:t>
      </w:r>
      <w:r w:rsidR="00D527ED" w:rsidRPr="00C94149">
        <w:rPr>
          <w:rFonts w:ascii="Arial" w:hAnsi="Arial"/>
        </w:rPr>
        <w:t xml:space="preserve">. </w:t>
      </w:r>
      <w:r w:rsidR="0060360A">
        <w:rPr>
          <w:rFonts w:ascii="Arial" w:hAnsi="Arial"/>
        </w:rPr>
        <w:t xml:space="preserve"> This needs to be completed and signed by all </w:t>
      </w:r>
      <w:r w:rsidR="00734D93">
        <w:rPr>
          <w:rFonts w:ascii="Arial" w:hAnsi="Arial"/>
        </w:rPr>
        <w:t xml:space="preserve">primary government </w:t>
      </w:r>
      <w:r w:rsidR="004668FC">
        <w:rPr>
          <w:rFonts w:ascii="Arial" w:hAnsi="Arial"/>
        </w:rPr>
        <w:t>agencies and</w:t>
      </w:r>
      <w:r w:rsidR="00ED51CB">
        <w:rPr>
          <w:rFonts w:ascii="Arial" w:hAnsi="Arial"/>
        </w:rPr>
        <w:t xml:space="preserve"> can be marked as </w:t>
      </w:r>
      <w:r w:rsidR="008D05A2">
        <w:rPr>
          <w:rFonts w:ascii="Arial" w:hAnsi="Arial"/>
        </w:rPr>
        <w:t>“</w:t>
      </w:r>
      <w:r w:rsidR="00ED51CB">
        <w:rPr>
          <w:rFonts w:ascii="Arial" w:hAnsi="Arial"/>
        </w:rPr>
        <w:t>NA</w:t>
      </w:r>
      <w:r w:rsidR="008D05A2">
        <w:rPr>
          <w:rFonts w:ascii="Arial" w:hAnsi="Arial"/>
        </w:rPr>
        <w:t>”</w:t>
      </w:r>
      <w:r w:rsidR="00DF098A">
        <w:rPr>
          <w:rFonts w:ascii="Arial" w:hAnsi="Arial"/>
        </w:rPr>
        <w:t xml:space="preserve"> (Not</w:t>
      </w:r>
      <w:r w:rsidR="00ED51CB">
        <w:rPr>
          <w:rFonts w:ascii="Arial" w:hAnsi="Arial"/>
        </w:rPr>
        <w:t xml:space="preserve"> applicable</w:t>
      </w:r>
      <w:r w:rsidR="004668FC">
        <w:rPr>
          <w:rFonts w:ascii="Arial" w:hAnsi="Arial"/>
        </w:rPr>
        <w:t>), if</w:t>
      </w:r>
      <w:r w:rsidR="00ED51CB">
        <w:rPr>
          <w:rFonts w:ascii="Arial" w:hAnsi="Arial"/>
        </w:rPr>
        <w:t xml:space="preserve"> the primary government agency has no transfer activity for the year</w:t>
      </w:r>
      <w:r w:rsidR="0060360A">
        <w:rPr>
          <w:rFonts w:ascii="Arial" w:hAnsi="Arial"/>
        </w:rPr>
        <w:t xml:space="preserve">. </w:t>
      </w:r>
      <w:r w:rsidR="00280148">
        <w:rPr>
          <w:rFonts w:ascii="Arial" w:hAnsi="Arial"/>
        </w:rPr>
        <w:t>Agency transfer reconciliations are done by reconciling the Modified and Accrual report</w:t>
      </w:r>
      <w:r w:rsidR="00B84F8E">
        <w:rPr>
          <w:rFonts w:ascii="Arial" w:hAnsi="Arial"/>
        </w:rPr>
        <w:t xml:space="preserve">s of NCFS statewide report posted daily on </w:t>
      </w:r>
      <w:r w:rsidR="007F603B">
        <w:rPr>
          <w:rFonts w:ascii="Arial" w:hAnsi="Arial"/>
        </w:rPr>
        <w:t>OSC SharePoint</w:t>
      </w:r>
      <w:r w:rsidR="00314E48">
        <w:rPr>
          <w:rFonts w:ascii="Arial" w:hAnsi="Arial"/>
        </w:rPr>
        <w:t xml:space="preserve"> and the Cash basis report is not used for ACFR reconciliation since </w:t>
      </w:r>
      <w:r w:rsidR="004668FC">
        <w:rPr>
          <w:rFonts w:ascii="Arial" w:hAnsi="Arial"/>
        </w:rPr>
        <w:t>ACFR reporting</w:t>
      </w:r>
      <w:r w:rsidR="00314E48">
        <w:rPr>
          <w:rFonts w:ascii="Arial" w:hAnsi="Arial"/>
        </w:rPr>
        <w:t xml:space="preserve"> is not on </w:t>
      </w:r>
      <w:r w:rsidR="004668FC">
        <w:rPr>
          <w:rFonts w:ascii="Arial" w:hAnsi="Arial"/>
        </w:rPr>
        <w:t>a</w:t>
      </w:r>
      <w:r w:rsidR="00314E48">
        <w:rPr>
          <w:rFonts w:ascii="Arial" w:hAnsi="Arial"/>
        </w:rPr>
        <w:t xml:space="preserve"> cash basis</w:t>
      </w:r>
      <w:r w:rsidR="007F603B">
        <w:rPr>
          <w:rFonts w:ascii="Arial" w:hAnsi="Arial"/>
        </w:rPr>
        <w:t>. Agencies need to use the</w:t>
      </w:r>
      <w:r w:rsidR="007C6074">
        <w:rPr>
          <w:rFonts w:ascii="Arial" w:hAnsi="Arial"/>
        </w:rPr>
        <w:t xml:space="preserve"> June end</w:t>
      </w:r>
      <w:r w:rsidR="00C81B48">
        <w:rPr>
          <w:rFonts w:ascii="Arial" w:hAnsi="Arial"/>
        </w:rPr>
        <w:t xml:space="preserve">ing </w:t>
      </w:r>
      <w:r w:rsidR="00E409D9">
        <w:rPr>
          <w:rFonts w:ascii="Arial" w:hAnsi="Arial"/>
        </w:rPr>
        <w:t>Modified and Accrual basis Transfer</w:t>
      </w:r>
      <w:r w:rsidR="007F603B">
        <w:rPr>
          <w:rFonts w:ascii="Arial" w:hAnsi="Arial"/>
        </w:rPr>
        <w:t xml:space="preserve"> Statewide reports and guidance documents</w:t>
      </w:r>
      <w:r w:rsidR="00E409D9">
        <w:rPr>
          <w:rFonts w:ascii="Arial" w:hAnsi="Arial"/>
        </w:rPr>
        <w:t xml:space="preserve"> which are posted daily</w:t>
      </w:r>
      <w:r w:rsidR="007F603B">
        <w:rPr>
          <w:rFonts w:ascii="Arial" w:hAnsi="Arial"/>
        </w:rPr>
        <w:t xml:space="preserve"> in SharePoint to reconcile all transfers</w:t>
      </w:r>
      <w:r w:rsidR="002106E0">
        <w:rPr>
          <w:rFonts w:ascii="Arial" w:hAnsi="Arial"/>
        </w:rPr>
        <w:t>. Once all agency transactions are on the “matching” tab, agencies can</w:t>
      </w:r>
      <w:r w:rsidR="007F603B">
        <w:rPr>
          <w:rFonts w:ascii="Arial" w:hAnsi="Arial"/>
        </w:rPr>
        <w:t xml:space="preserve"> complete worksheet 542 to </w:t>
      </w:r>
      <w:r w:rsidR="00486C06">
        <w:rPr>
          <w:rFonts w:ascii="Arial" w:hAnsi="Arial"/>
        </w:rPr>
        <w:t>certify that the reports have been reconciled for the ACFR package.</w:t>
      </w:r>
      <w:r w:rsidR="00AE2790">
        <w:rPr>
          <w:rFonts w:ascii="Arial" w:hAnsi="Arial"/>
        </w:rPr>
        <w:t xml:space="preserve"> Exceptions </w:t>
      </w:r>
      <w:r w:rsidR="00CD5DD8">
        <w:rPr>
          <w:rFonts w:ascii="Arial" w:hAnsi="Arial"/>
        </w:rPr>
        <w:t xml:space="preserve">need to be reported on the 542 </w:t>
      </w:r>
      <w:proofErr w:type="gramStart"/>
      <w:r w:rsidR="00CD5DD8">
        <w:rPr>
          <w:rFonts w:ascii="Arial" w:hAnsi="Arial"/>
        </w:rPr>
        <w:t>worksheet</w:t>
      </w:r>
      <w:proofErr w:type="gramEnd"/>
      <w:r w:rsidR="00CD5DD8">
        <w:rPr>
          <w:rFonts w:ascii="Arial" w:hAnsi="Arial"/>
        </w:rPr>
        <w:t>.</w:t>
      </w:r>
    </w:p>
    <w:p w14:paraId="5D2A2A90" w14:textId="77777777" w:rsidR="00C834FB" w:rsidRDefault="00C834FB" w:rsidP="00C94149">
      <w:pPr>
        <w:spacing w:line="240" w:lineRule="exact"/>
        <w:rPr>
          <w:rFonts w:ascii="Arial" w:hAnsi="Arial"/>
        </w:rPr>
      </w:pPr>
    </w:p>
    <w:p w14:paraId="31A38738" w14:textId="4DA6E29D" w:rsidR="00C834FB" w:rsidRDefault="009555EB" w:rsidP="00C94149">
      <w:pPr>
        <w:spacing w:line="240" w:lineRule="exact"/>
        <w:rPr>
          <w:rFonts w:ascii="Arial" w:hAnsi="Arial"/>
        </w:rPr>
      </w:pPr>
      <w:r>
        <w:rPr>
          <w:rFonts w:ascii="Arial" w:hAnsi="Arial"/>
        </w:rPr>
        <w:t xml:space="preserve">Ideally, all entries for the agency should be showing on the Matched tab.  Entries that are on the </w:t>
      </w:r>
      <w:r w:rsidR="008C43B2">
        <w:rPr>
          <w:rFonts w:ascii="Arial" w:hAnsi="Arial"/>
        </w:rPr>
        <w:t xml:space="preserve">other tabs (except All transfers which is just a listing of all transfers), should be corrected.  However, if an agency has an entry that reverses itself out </w:t>
      </w:r>
      <w:r w:rsidR="004E2850">
        <w:rPr>
          <w:rFonts w:ascii="Arial" w:hAnsi="Arial"/>
        </w:rPr>
        <w:t>with positive and credit values that net to zero on the same GASB, it is a valid exception. Such entries that net to zero within the same GASB do not need a matching entry even if these are not on the Matched tab.</w:t>
      </w:r>
      <w:r w:rsidR="00C834FB">
        <w:rPr>
          <w:rFonts w:ascii="Arial" w:hAnsi="Arial"/>
        </w:rPr>
        <w:t xml:space="preserve"> </w:t>
      </w:r>
    </w:p>
    <w:p w14:paraId="460EBF30" w14:textId="77777777" w:rsidR="004F512E" w:rsidRDefault="004F512E" w:rsidP="00C94149">
      <w:pPr>
        <w:spacing w:line="240" w:lineRule="exact"/>
        <w:rPr>
          <w:rFonts w:ascii="Arial" w:hAnsi="Arial"/>
        </w:rPr>
      </w:pPr>
    </w:p>
    <w:p w14:paraId="519B1FD3" w14:textId="065AE11A" w:rsidR="004F512E" w:rsidRDefault="005059DC" w:rsidP="00C94149">
      <w:pPr>
        <w:spacing w:line="240" w:lineRule="exact"/>
        <w:rPr>
          <w:rFonts w:ascii="Arial" w:hAnsi="Arial"/>
        </w:rPr>
      </w:pPr>
      <w:r>
        <w:rPr>
          <w:rFonts w:ascii="Arial" w:hAnsi="Arial"/>
        </w:rPr>
        <w:t xml:space="preserve">The top section of the 542 worksheet </w:t>
      </w:r>
      <w:r w:rsidR="00BE0C31">
        <w:rPr>
          <w:rFonts w:ascii="Arial" w:hAnsi="Arial"/>
        </w:rPr>
        <w:t>has a section where a</w:t>
      </w:r>
      <w:r w:rsidR="0022343C">
        <w:rPr>
          <w:rFonts w:ascii="Arial" w:hAnsi="Arial"/>
        </w:rPr>
        <w:t xml:space="preserve">gencies </w:t>
      </w:r>
      <w:r w:rsidR="00BE0C31">
        <w:rPr>
          <w:rFonts w:ascii="Arial" w:hAnsi="Arial"/>
        </w:rPr>
        <w:t>can</w:t>
      </w:r>
      <w:r w:rsidR="00BE25A8">
        <w:rPr>
          <w:rFonts w:ascii="Arial" w:hAnsi="Arial"/>
        </w:rPr>
        <w:t xml:space="preserve"> report </w:t>
      </w:r>
      <w:r w:rsidR="00C94CCC">
        <w:rPr>
          <w:rFonts w:ascii="Arial" w:hAnsi="Arial"/>
        </w:rPr>
        <w:t xml:space="preserve">exceptions </w:t>
      </w:r>
      <w:r w:rsidR="00BE25A8">
        <w:rPr>
          <w:rFonts w:ascii="Arial" w:hAnsi="Arial"/>
        </w:rPr>
        <w:t>(we expect these to be extremely rare)</w:t>
      </w:r>
      <w:r w:rsidR="004F618B">
        <w:rPr>
          <w:rFonts w:ascii="Arial" w:hAnsi="Arial"/>
        </w:rPr>
        <w:t>. All exceptions need</w:t>
      </w:r>
      <w:r w:rsidR="00BE25A8">
        <w:rPr>
          <w:rFonts w:ascii="Arial" w:hAnsi="Arial"/>
        </w:rPr>
        <w:t xml:space="preserve"> pre-approv</w:t>
      </w:r>
      <w:r w:rsidR="004F618B">
        <w:rPr>
          <w:rFonts w:ascii="Arial" w:hAnsi="Arial"/>
        </w:rPr>
        <w:t>al</w:t>
      </w:r>
      <w:r w:rsidR="00D135DE">
        <w:rPr>
          <w:rFonts w:ascii="Arial" w:hAnsi="Arial"/>
        </w:rPr>
        <w:t xml:space="preserve"> from</w:t>
      </w:r>
      <w:r w:rsidR="00BE25A8">
        <w:rPr>
          <w:rFonts w:ascii="Arial" w:hAnsi="Arial"/>
        </w:rPr>
        <w:t xml:space="preserve"> OSC</w:t>
      </w:r>
      <w:r w:rsidR="00D135DE">
        <w:rPr>
          <w:rFonts w:ascii="Arial" w:hAnsi="Arial"/>
        </w:rPr>
        <w:t xml:space="preserve"> </w:t>
      </w:r>
      <w:r w:rsidR="00031A03">
        <w:rPr>
          <w:rFonts w:ascii="Arial" w:hAnsi="Arial"/>
        </w:rPr>
        <w:t>statewide accounting staff</w:t>
      </w:r>
      <w:r w:rsidR="00BE25A8">
        <w:rPr>
          <w:rFonts w:ascii="Arial" w:hAnsi="Arial"/>
        </w:rPr>
        <w:t>.</w:t>
      </w:r>
      <w:r w:rsidR="00E12A23">
        <w:rPr>
          <w:rFonts w:ascii="Arial" w:hAnsi="Arial"/>
        </w:rPr>
        <w:t xml:space="preserve"> An exception is granted only when an agency cannot reconcile a transfer due to reasons beyond their control</w:t>
      </w:r>
      <w:r w:rsidR="003542D9">
        <w:rPr>
          <w:rFonts w:ascii="Arial" w:hAnsi="Arial"/>
        </w:rPr>
        <w:t xml:space="preserve">. </w:t>
      </w:r>
    </w:p>
    <w:p w14:paraId="2CD16D79" w14:textId="77777777" w:rsidR="00BE25A8" w:rsidRDefault="00BE25A8" w:rsidP="00C94149">
      <w:pPr>
        <w:spacing w:line="240" w:lineRule="exact"/>
        <w:rPr>
          <w:rFonts w:ascii="Arial" w:hAnsi="Arial"/>
        </w:rPr>
      </w:pPr>
    </w:p>
    <w:p w14:paraId="2C96AA50" w14:textId="2B12718F" w:rsidR="00BE25A8" w:rsidRDefault="00031A03" w:rsidP="00C94149">
      <w:pPr>
        <w:spacing w:line="240" w:lineRule="exact"/>
        <w:rPr>
          <w:rFonts w:ascii="Arial" w:hAnsi="Arial"/>
        </w:rPr>
      </w:pPr>
      <w:r>
        <w:rPr>
          <w:rFonts w:ascii="Arial" w:hAnsi="Arial"/>
        </w:rPr>
        <w:t xml:space="preserve">The 542 </w:t>
      </w:r>
      <w:proofErr w:type="gramStart"/>
      <w:r>
        <w:rPr>
          <w:rFonts w:ascii="Arial" w:hAnsi="Arial"/>
        </w:rPr>
        <w:t>worksheet</w:t>
      </w:r>
      <w:proofErr w:type="gramEnd"/>
      <w:r>
        <w:rPr>
          <w:rFonts w:ascii="Arial" w:hAnsi="Arial"/>
        </w:rPr>
        <w:t xml:space="preserve"> also has a section that requests </w:t>
      </w:r>
      <w:r w:rsidR="00BB273D">
        <w:rPr>
          <w:rFonts w:ascii="Arial" w:hAnsi="Arial"/>
        </w:rPr>
        <w:t xml:space="preserve">explanations for transfers </w:t>
      </w:r>
      <w:r w:rsidR="008D05A2">
        <w:rPr>
          <w:rFonts w:ascii="Arial" w:hAnsi="Arial"/>
        </w:rPr>
        <w:t>that are</w:t>
      </w:r>
      <w:r w:rsidR="00BE25A8">
        <w:rPr>
          <w:rFonts w:ascii="Arial" w:hAnsi="Arial"/>
        </w:rPr>
        <w:t xml:space="preserve"> over $10 million</w:t>
      </w:r>
      <w:r w:rsidR="00BB273D">
        <w:rPr>
          <w:rFonts w:ascii="Arial" w:hAnsi="Arial"/>
        </w:rPr>
        <w:t>, since these may be included in the final ACFR</w:t>
      </w:r>
      <w:r w:rsidR="0088220B">
        <w:rPr>
          <w:rFonts w:ascii="Arial" w:hAnsi="Arial"/>
        </w:rPr>
        <w:t xml:space="preserve"> by OSC</w:t>
      </w:r>
      <w:r w:rsidR="0088220B" w:rsidRPr="0088220B">
        <w:rPr>
          <w:rFonts w:ascii="Arial" w:hAnsi="Arial"/>
          <w:b/>
          <w:bCs/>
        </w:rPr>
        <w:t>.  A</w:t>
      </w:r>
      <w:r w:rsidR="00BE25A8" w:rsidRPr="00501B04">
        <w:rPr>
          <w:rFonts w:ascii="Arial" w:hAnsi="Arial"/>
          <w:b/>
          <w:bCs/>
          <w:u w:val="single"/>
        </w:rPr>
        <w:t xml:space="preserve">gencies do not need to report any transfer </w:t>
      </w:r>
      <w:r w:rsidR="000131BC" w:rsidRPr="00501B04">
        <w:rPr>
          <w:rFonts w:ascii="Arial" w:hAnsi="Arial"/>
          <w:b/>
          <w:bCs/>
          <w:u w:val="single"/>
        </w:rPr>
        <w:t>that is between the same GASB</w:t>
      </w:r>
      <w:r w:rsidR="000131BC">
        <w:rPr>
          <w:rFonts w:ascii="Arial" w:hAnsi="Arial"/>
        </w:rPr>
        <w:t>. For example, transfers</w:t>
      </w:r>
      <w:r w:rsidR="00A165C0">
        <w:rPr>
          <w:rFonts w:ascii="Arial" w:hAnsi="Arial"/>
        </w:rPr>
        <w:t xml:space="preserve"> in</w:t>
      </w:r>
      <w:r w:rsidR="00C15024">
        <w:rPr>
          <w:rFonts w:ascii="Arial" w:hAnsi="Arial"/>
        </w:rPr>
        <w:t xml:space="preserve"> </w:t>
      </w:r>
      <w:r w:rsidR="00A165C0">
        <w:rPr>
          <w:rFonts w:ascii="Arial" w:hAnsi="Arial"/>
        </w:rPr>
        <w:t>and transfers out</w:t>
      </w:r>
      <w:r w:rsidR="000131BC">
        <w:rPr>
          <w:rFonts w:ascii="Arial" w:hAnsi="Arial"/>
        </w:rPr>
        <w:t xml:space="preserve"> </w:t>
      </w:r>
      <w:r w:rsidR="001B1634">
        <w:rPr>
          <w:rFonts w:ascii="Arial" w:hAnsi="Arial"/>
        </w:rPr>
        <w:t>that are both in the General fund (</w:t>
      </w:r>
      <w:r w:rsidR="00A165C0">
        <w:rPr>
          <w:rFonts w:ascii="Arial" w:hAnsi="Arial"/>
        </w:rPr>
        <w:t>GASB 11XX</w:t>
      </w:r>
      <w:r w:rsidR="0088220B">
        <w:rPr>
          <w:rFonts w:ascii="Arial" w:hAnsi="Arial"/>
        </w:rPr>
        <w:t>X</w:t>
      </w:r>
      <w:r w:rsidR="001B1634">
        <w:rPr>
          <w:rFonts w:ascii="Arial" w:hAnsi="Arial"/>
        </w:rPr>
        <w:t xml:space="preserve">) </w:t>
      </w:r>
      <w:r w:rsidR="00430EA7">
        <w:rPr>
          <w:rFonts w:ascii="Arial" w:hAnsi="Arial"/>
        </w:rPr>
        <w:t>do not need any explanation</w:t>
      </w:r>
      <w:r w:rsidR="000131BC">
        <w:rPr>
          <w:rFonts w:ascii="Arial" w:hAnsi="Arial"/>
        </w:rPr>
        <w:t xml:space="preserve"> since these are </w:t>
      </w:r>
      <w:r w:rsidR="00A165C0">
        <w:rPr>
          <w:rFonts w:ascii="Arial" w:hAnsi="Arial"/>
        </w:rPr>
        <w:t>eliminated</w:t>
      </w:r>
      <w:r w:rsidR="000131BC">
        <w:rPr>
          <w:rFonts w:ascii="Arial" w:hAnsi="Arial"/>
        </w:rPr>
        <w:t xml:space="preserve"> at the Statewide ACFR level.</w:t>
      </w:r>
      <w:r w:rsidR="00A165C0">
        <w:rPr>
          <w:rFonts w:ascii="Arial" w:hAnsi="Arial"/>
        </w:rPr>
        <w:t xml:space="preserve"> </w:t>
      </w:r>
      <w:r w:rsidR="00FF4A41">
        <w:rPr>
          <w:rFonts w:ascii="Arial" w:hAnsi="Arial"/>
        </w:rPr>
        <w:t xml:space="preserve">Note 10B of the Statewide ACFR displays only true transfers between </w:t>
      </w:r>
      <w:r w:rsidR="00430EA7">
        <w:rPr>
          <w:rFonts w:ascii="Arial" w:hAnsi="Arial"/>
        </w:rPr>
        <w:t xml:space="preserve">different GASB </w:t>
      </w:r>
      <w:r w:rsidR="00FF4A41">
        <w:rPr>
          <w:rFonts w:ascii="Arial" w:hAnsi="Arial"/>
        </w:rPr>
        <w:t>funds</w:t>
      </w:r>
      <w:r w:rsidR="00430EA7">
        <w:rPr>
          <w:rFonts w:ascii="Arial" w:hAnsi="Arial"/>
        </w:rPr>
        <w:t xml:space="preserve"> (</w:t>
      </w:r>
      <w:r w:rsidR="004C76EB">
        <w:rPr>
          <w:rFonts w:ascii="Arial" w:hAnsi="Arial"/>
        </w:rPr>
        <w:t>General fund to Special fund for example)</w:t>
      </w:r>
      <w:r w:rsidR="00FF4A41">
        <w:rPr>
          <w:rFonts w:ascii="Arial" w:hAnsi="Arial"/>
        </w:rPr>
        <w:t xml:space="preserve">, and the narrative </w:t>
      </w:r>
      <w:r w:rsidR="00000AFB">
        <w:rPr>
          <w:rFonts w:ascii="Arial" w:hAnsi="Arial"/>
        </w:rPr>
        <w:t>description of significant transfers of large dollar values</w:t>
      </w:r>
      <w:r w:rsidR="004C76EB">
        <w:rPr>
          <w:rFonts w:ascii="Arial" w:hAnsi="Arial"/>
        </w:rPr>
        <w:t xml:space="preserve"> that are between different GASB’s</w:t>
      </w:r>
      <w:r w:rsidR="00000AFB">
        <w:rPr>
          <w:rFonts w:ascii="Arial" w:hAnsi="Arial"/>
        </w:rPr>
        <w:t>.</w:t>
      </w:r>
    </w:p>
    <w:p w14:paraId="0A7CF892" w14:textId="77777777" w:rsidR="0067764D" w:rsidRDefault="0067764D" w:rsidP="00C94149">
      <w:pPr>
        <w:spacing w:line="240" w:lineRule="exact"/>
        <w:rPr>
          <w:rFonts w:ascii="Arial" w:hAnsi="Arial"/>
        </w:rPr>
      </w:pPr>
    </w:p>
    <w:p w14:paraId="21CA9F83" w14:textId="102F75FD" w:rsidR="0067764D" w:rsidRDefault="00292D4E" w:rsidP="00C94149">
      <w:pPr>
        <w:spacing w:line="240" w:lineRule="exact"/>
        <w:rPr>
          <w:rFonts w:ascii="Arial" w:hAnsi="Arial"/>
        </w:rPr>
      </w:pPr>
      <w:r>
        <w:rPr>
          <w:rFonts w:ascii="Arial" w:hAnsi="Arial"/>
        </w:rPr>
        <w:t>The Agency Transfer contact or the CFO can type their name on the bottom of the form to certify the Report 168 completion, and this does not have to be an electronic signature.</w:t>
      </w:r>
    </w:p>
    <w:p w14:paraId="4A5A9B7F" w14:textId="77777777" w:rsidR="00660E0B" w:rsidRDefault="00660E0B" w:rsidP="00C94149">
      <w:pPr>
        <w:spacing w:line="240" w:lineRule="exact"/>
        <w:rPr>
          <w:rFonts w:ascii="Arial" w:hAnsi="Arial"/>
        </w:rPr>
      </w:pPr>
    </w:p>
    <w:p w14:paraId="1B2A3F38" w14:textId="6911173F" w:rsidR="00660E0B" w:rsidRPr="00C94149" w:rsidRDefault="00660E0B" w:rsidP="00C94149">
      <w:pPr>
        <w:spacing w:line="240" w:lineRule="exact"/>
        <w:rPr>
          <w:rFonts w:ascii="Arial" w:hAnsi="Arial"/>
        </w:rPr>
      </w:pPr>
      <w:r>
        <w:rPr>
          <w:rFonts w:ascii="Arial" w:hAnsi="Arial"/>
        </w:rPr>
        <w:lastRenderedPageBreak/>
        <w:t xml:space="preserve">Agencies do not need to upload any 168 </w:t>
      </w:r>
      <w:proofErr w:type="gramStart"/>
      <w:r>
        <w:rPr>
          <w:rFonts w:ascii="Arial" w:hAnsi="Arial"/>
        </w:rPr>
        <w:t>report</w:t>
      </w:r>
      <w:proofErr w:type="gramEnd"/>
      <w:r>
        <w:rPr>
          <w:rFonts w:ascii="Arial" w:hAnsi="Arial"/>
        </w:rPr>
        <w:t xml:space="preserve"> to SharePoint or email any report when signing the </w:t>
      </w:r>
      <w:r w:rsidR="00A65B32">
        <w:rPr>
          <w:rFonts w:ascii="Arial" w:hAnsi="Arial"/>
        </w:rPr>
        <w:t xml:space="preserve">542 </w:t>
      </w:r>
      <w:proofErr w:type="gramStart"/>
      <w:r w:rsidR="00A65B32">
        <w:rPr>
          <w:rFonts w:ascii="Arial" w:hAnsi="Arial"/>
        </w:rPr>
        <w:t>worksheet;  OSC</w:t>
      </w:r>
      <w:proofErr w:type="gramEnd"/>
      <w:r w:rsidR="00A65B32">
        <w:rPr>
          <w:rFonts w:ascii="Arial" w:hAnsi="Arial"/>
        </w:rPr>
        <w:t xml:space="preserve"> will be using the Statewide final Report 168 </w:t>
      </w:r>
      <w:r w:rsidR="00281888">
        <w:rPr>
          <w:rFonts w:ascii="Arial" w:hAnsi="Arial"/>
        </w:rPr>
        <w:t>on Modified and Accrual basis to verify all matching entries.</w:t>
      </w:r>
    </w:p>
    <w:p w14:paraId="187C6178" w14:textId="77777777" w:rsidR="001C3C9E" w:rsidRPr="005D1AC2" w:rsidRDefault="001C3C9E" w:rsidP="008C022C">
      <w:pPr>
        <w:rPr>
          <w:rFonts w:ascii="Arial" w:hAnsi="Arial"/>
        </w:rPr>
      </w:pPr>
    </w:p>
    <w:p w14:paraId="1D21CC87" w14:textId="4AE18E2E" w:rsidR="008C022C" w:rsidRPr="005D1AC2" w:rsidRDefault="008C022C" w:rsidP="008C022C">
      <w:pPr>
        <w:rPr>
          <w:rFonts w:ascii="Arial" w:hAnsi="Arial"/>
        </w:rPr>
      </w:pPr>
      <w:r w:rsidRPr="005D1AC2">
        <w:rPr>
          <w:rFonts w:ascii="Arial" w:hAnsi="Arial"/>
          <w:b/>
          <w:bCs/>
        </w:rPr>
        <w:t>Agencies must reconcile their transfers at the agency level</w:t>
      </w:r>
      <w:r w:rsidR="00676021">
        <w:rPr>
          <w:rFonts w:ascii="Arial" w:hAnsi="Arial"/>
          <w:b/>
          <w:bCs/>
        </w:rPr>
        <w:t xml:space="preserve"> by August 12</w:t>
      </w:r>
      <w:r w:rsidR="00676021" w:rsidRPr="00676021">
        <w:rPr>
          <w:rFonts w:ascii="Arial" w:hAnsi="Arial"/>
          <w:b/>
          <w:bCs/>
          <w:vertAlign w:val="superscript"/>
        </w:rPr>
        <w:t>th</w:t>
      </w:r>
      <w:r w:rsidR="00676021">
        <w:rPr>
          <w:rFonts w:ascii="Arial" w:hAnsi="Arial"/>
          <w:b/>
          <w:bCs/>
        </w:rPr>
        <w:t xml:space="preserve">, </w:t>
      </w:r>
      <w:r w:rsidR="003A07FE">
        <w:rPr>
          <w:rFonts w:ascii="Arial" w:hAnsi="Arial"/>
          <w:b/>
          <w:bCs/>
        </w:rPr>
        <w:t>2025,</w:t>
      </w:r>
      <w:r w:rsidR="00676021">
        <w:rPr>
          <w:rFonts w:ascii="Arial" w:hAnsi="Arial"/>
          <w:b/>
          <w:bCs/>
        </w:rPr>
        <w:t xml:space="preserve"> </w:t>
      </w:r>
      <w:r w:rsidR="003A07FE">
        <w:rPr>
          <w:rFonts w:ascii="Arial" w:hAnsi="Arial"/>
          <w:b/>
          <w:bCs/>
        </w:rPr>
        <w:t>before the agency package submission date, so the ACFR team can check the report certification as the packages are submitted</w:t>
      </w:r>
      <w:r w:rsidRPr="005D1AC2">
        <w:rPr>
          <w:rFonts w:ascii="Arial" w:hAnsi="Arial"/>
          <w:b/>
          <w:bCs/>
        </w:rPr>
        <w:t>.</w:t>
      </w:r>
      <w:r w:rsidRPr="005D1AC2">
        <w:rPr>
          <w:rFonts w:ascii="Arial" w:hAnsi="Arial"/>
        </w:rPr>
        <w:t xml:space="preserve"> </w:t>
      </w:r>
    </w:p>
    <w:p w14:paraId="00312384" w14:textId="54C6B80B" w:rsidR="004E46A3" w:rsidRPr="005D1AC2" w:rsidRDefault="004E46A3" w:rsidP="774FF650">
      <w:pPr>
        <w:rPr>
          <w:rFonts w:ascii="Arial" w:hAnsi="Arial"/>
        </w:rPr>
      </w:pPr>
      <w:r w:rsidRPr="005D1AC2">
        <w:rPr>
          <w:rFonts w:ascii="Arial" w:hAnsi="Arial"/>
        </w:rPr>
        <w:t xml:space="preserve">  </w:t>
      </w:r>
    </w:p>
    <w:p w14:paraId="782C20D1" w14:textId="77777777" w:rsidR="00C864E1" w:rsidRPr="005D1AC2" w:rsidRDefault="00C864E1" w:rsidP="774FF650">
      <w:pPr>
        <w:rPr>
          <w:rFonts w:ascii="Arial" w:hAnsi="Arial"/>
        </w:rPr>
      </w:pPr>
    </w:p>
    <w:p w14:paraId="1980143B" w14:textId="77777777" w:rsidR="004E46A3" w:rsidRPr="003454A2" w:rsidRDefault="004E46A3">
      <w:pPr>
        <w:spacing w:line="240" w:lineRule="exact"/>
        <w:rPr>
          <w:rFonts w:ascii="Arial" w:hAnsi="Arial"/>
          <w:b/>
          <w:smallCaps/>
          <w:sz w:val="24"/>
          <w:u w:val="single"/>
        </w:rPr>
      </w:pPr>
      <w:r w:rsidRPr="003454A2">
        <w:rPr>
          <w:rFonts w:ascii="Arial" w:hAnsi="Arial"/>
          <w:b/>
          <w:smallCaps/>
          <w:sz w:val="24"/>
          <w:u w:val="single"/>
        </w:rPr>
        <w:t xml:space="preserve">Schedule of Interinstitutional Transfers </w:t>
      </w:r>
      <w:r w:rsidR="00621EAC" w:rsidRPr="003454A2">
        <w:rPr>
          <w:rFonts w:ascii="Arial" w:hAnsi="Arial"/>
          <w:b/>
          <w:smallCaps/>
          <w:sz w:val="24"/>
          <w:u w:val="single"/>
        </w:rPr>
        <w:t xml:space="preserve">(universities only) </w:t>
      </w:r>
      <w:r w:rsidRPr="003454A2">
        <w:rPr>
          <w:rFonts w:ascii="Arial" w:hAnsi="Arial"/>
          <w:b/>
          <w:smallCaps/>
          <w:sz w:val="24"/>
          <w:u w:val="single"/>
        </w:rPr>
        <w:t>(565)</w:t>
      </w:r>
    </w:p>
    <w:p w14:paraId="6194E5B0" w14:textId="77777777" w:rsidR="004E46A3" w:rsidRDefault="004E46A3">
      <w:pPr>
        <w:spacing w:line="240" w:lineRule="exact"/>
        <w:jc w:val="center"/>
        <w:rPr>
          <w:rFonts w:ascii="Arial" w:hAnsi="Arial"/>
          <w:b/>
          <w:sz w:val="24"/>
          <w:u w:val="single"/>
        </w:rPr>
      </w:pPr>
    </w:p>
    <w:p w14:paraId="283C6B01" w14:textId="26A3BFB7" w:rsidR="004E46A3" w:rsidRPr="00F019C8" w:rsidRDefault="004E46A3">
      <w:pPr>
        <w:spacing w:line="240" w:lineRule="exact"/>
        <w:rPr>
          <w:rFonts w:ascii="Arial" w:hAnsi="Arial"/>
        </w:rPr>
      </w:pPr>
      <w:r w:rsidRPr="00F019C8">
        <w:rPr>
          <w:rFonts w:ascii="Arial" w:hAnsi="Arial"/>
        </w:rPr>
        <w:t>This worksheet must be completed if the following NC</w:t>
      </w:r>
      <w:r w:rsidR="00A63335">
        <w:rPr>
          <w:rFonts w:ascii="Arial" w:hAnsi="Arial"/>
        </w:rPr>
        <w:t>FS</w:t>
      </w:r>
      <w:r w:rsidRPr="00F019C8">
        <w:rPr>
          <w:rFonts w:ascii="Arial" w:hAnsi="Arial"/>
        </w:rPr>
        <w:t xml:space="preserve"> accounts are used:</w:t>
      </w:r>
    </w:p>
    <w:p w14:paraId="30E1C594" w14:textId="77777777" w:rsidR="004E46A3" w:rsidRPr="00F019C8" w:rsidRDefault="004E46A3">
      <w:pPr>
        <w:spacing w:line="240" w:lineRule="exact"/>
        <w:rPr>
          <w:rFonts w:ascii="Arial" w:hAnsi="Arial"/>
        </w:rPr>
      </w:pPr>
    </w:p>
    <w:p w14:paraId="60658BCA" w14:textId="2E24C7A9" w:rsidR="004E46A3" w:rsidRPr="00F019C8" w:rsidRDefault="004E46A3">
      <w:pPr>
        <w:spacing w:line="240" w:lineRule="exact"/>
        <w:rPr>
          <w:rFonts w:ascii="Arial" w:hAnsi="Arial"/>
        </w:rPr>
      </w:pPr>
      <w:r w:rsidRPr="00F019C8">
        <w:rPr>
          <w:rFonts w:ascii="Arial" w:hAnsi="Arial"/>
        </w:rPr>
        <w:t>58700</w:t>
      </w:r>
      <w:r w:rsidR="00A63335">
        <w:rPr>
          <w:rFonts w:ascii="Arial" w:hAnsi="Arial"/>
        </w:rPr>
        <w:t>0</w:t>
      </w:r>
      <w:r w:rsidR="00DC5C7C">
        <w:rPr>
          <w:rFonts w:ascii="Arial" w:hAnsi="Arial"/>
        </w:rPr>
        <w:t>00</w:t>
      </w:r>
      <w:r w:rsidRPr="00F019C8">
        <w:rPr>
          <w:rFonts w:ascii="Arial" w:hAnsi="Arial"/>
        </w:rPr>
        <w:t xml:space="preserve"> and/or 48700</w:t>
      </w:r>
      <w:r w:rsidR="00A63335">
        <w:rPr>
          <w:rFonts w:ascii="Arial" w:hAnsi="Arial"/>
        </w:rPr>
        <w:t>00</w:t>
      </w:r>
      <w:r w:rsidR="0048106E">
        <w:rPr>
          <w:rFonts w:ascii="Arial" w:hAnsi="Arial"/>
        </w:rPr>
        <w:t>0</w:t>
      </w:r>
      <w:r w:rsidRPr="00F019C8">
        <w:rPr>
          <w:rFonts w:ascii="Arial" w:hAnsi="Arial"/>
        </w:rPr>
        <w:t xml:space="preserve"> Interinstitutional Transfers</w:t>
      </w:r>
    </w:p>
    <w:p w14:paraId="32B0BA19" w14:textId="77777777" w:rsidR="004E46A3" w:rsidRPr="00F019C8" w:rsidRDefault="004E46A3">
      <w:pPr>
        <w:spacing w:line="240" w:lineRule="exact"/>
        <w:rPr>
          <w:rFonts w:ascii="Arial" w:hAnsi="Arial"/>
        </w:rPr>
      </w:pPr>
    </w:p>
    <w:p w14:paraId="40E01245" w14:textId="77777777" w:rsidR="007C1DFB" w:rsidRDefault="007C1DFB">
      <w:pPr>
        <w:spacing w:line="240" w:lineRule="exact"/>
        <w:rPr>
          <w:rFonts w:ascii="Arial" w:hAnsi="Arial"/>
        </w:rPr>
      </w:pPr>
      <w:r>
        <w:rPr>
          <w:rFonts w:ascii="Arial" w:hAnsi="Arial"/>
        </w:rPr>
        <w:t xml:space="preserve">In the </w:t>
      </w:r>
      <w:r w:rsidR="004E46A3" w:rsidRPr="00F019C8">
        <w:rPr>
          <w:rFonts w:ascii="Arial" w:hAnsi="Arial"/>
        </w:rPr>
        <w:t>second column</w:t>
      </w:r>
      <w:r>
        <w:rPr>
          <w:rFonts w:ascii="Arial" w:hAnsi="Arial"/>
        </w:rPr>
        <w:t>, identify</w:t>
      </w:r>
      <w:r w:rsidR="004E46A3" w:rsidRPr="00F019C8">
        <w:rPr>
          <w:rFonts w:ascii="Arial" w:hAnsi="Arial"/>
        </w:rPr>
        <w:t xml:space="preserve"> the university from/to which the monies were transferred.  </w:t>
      </w:r>
    </w:p>
    <w:p w14:paraId="6F29BBF4" w14:textId="77777777" w:rsidR="007C1DFB" w:rsidRDefault="007C1DFB">
      <w:pPr>
        <w:spacing w:line="240" w:lineRule="exact"/>
        <w:rPr>
          <w:rFonts w:ascii="Arial" w:hAnsi="Arial"/>
        </w:rPr>
      </w:pPr>
      <w:r>
        <w:rPr>
          <w:rFonts w:ascii="Arial" w:hAnsi="Arial"/>
        </w:rPr>
        <w:t xml:space="preserve">In the third </w:t>
      </w:r>
      <w:r w:rsidR="00C63934">
        <w:rPr>
          <w:rFonts w:ascii="Arial" w:hAnsi="Arial"/>
        </w:rPr>
        <w:t xml:space="preserve">and fourth </w:t>
      </w:r>
      <w:r>
        <w:rPr>
          <w:rFonts w:ascii="Arial" w:hAnsi="Arial"/>
        </w:rPr>
        <w:t>column</w:t>
      </w:r>
      <w:r w:rsidR="00C63934">
        <w:rPr>
          <w:rFonts w:ascii="Arial" w:hAnsi="Arial"/>
        </w:rPr>
        <w:t>s</w:t>
      </w:r>
      <w:r>
        <w:rPr>
          <w:rFonts w:ascii="Arial" w:hAnsi="Arial"/>
        </w:rPr>
        <w:t xml:space="preserve">, provide a brief </w:t>
      </w:r>
      <w:proofErr w:type="gramStart"/>
      <w:r w:rsidR="004E46A3" w:rsidRPr="00F019C8">
        <w:rPr>
          <w:rFonts w:ascii="Arial" w:hAnsi="Arial"/>
        </w:rPr>
        <w:t>description</w:t>
      </w:r>
      <w:r w:rsidR="00C63934">
        <w:rPr>
          <w:rFonts w:ascii="Arial" w:hAnsi="Arial"/>
        </w:rPr>
        <w:t xml:space="preserve"> and </w:t>
      </w:r>
      <w:r w:rsidR="00C13627">
        <w:rPr>
          <w:rFonts w:ascii="Arial" w:hAnsi="Arial"/>
        </w:rPr>
        <w:t xml:space="preserve">the </w:t>
      </w:r>
      <w:r w:rsidR="00C63934">
        <w:rPr>
          <w:rFonts w:ascii="Arial" w:hAnsi="Arial"/>
        </w:rPr>
        <w:t>amount</w:t>
      </w:r>
      <w:proofErr w:type="gramEnd"/>
      <w:r>
        <w:rPr>
          <w:rFonts w:ascii="Arial" w:hAnsi="Arial"/>
        </w:rPr>
        <w:t xml:space="preserve"> of the transfer.  </w:t>
      </w:r>
    </w:p>
    <w:p w14:paraId="2F1C6625" w14:textId="77777777" w:rsidR="004E46A3" w:rsidRPr="00F019C8" w:rsidRDefault="00C63934">
      <w:pPr>
        <w:spacing w:line="240" w:lineRule="exact"/>
        <w:rPr>
          <w:rFonts w:ascii="Arial" w:hAnsi="Arial"/>
        </w:rPr>
      </w:pPr>
      <w:r>
        <w:rPr>
          <w:rFonts w:ascii="Arial" w:hAnsi="Arial"/>
        </w:rPr>
        <w:t xml:space="preserve">In the final three columns, indicate whether you and the other party (i.e. payor/payee) have agreed on the amount of the transfer.  </w:t>
      </w:r>
      <w:r w:rsidRPr="00927356">
        <w:rPr>
          <w:rFonts w:ascii="Arial" w:hAnsi="Arial"/>
          <w:b/>
        </w:rPr>
        <w:t>You must c</w:t>
      </w:r>
      <w:r w:rsidR="007C1DFB" w:rsidRPr="00927356">
        <w:rPr>
          <w:rFonts w:ascii="Arial" w:hAnsi="Arial"/>
          <w:b/>
        </w:rPr>
        <w:t xml:space="preserve">ontact </w:t>
      </w:r>
      <w:r w:rsidRPr="00927356">
        <w:rPr>
          <w:rFonts w:ascii="Arial" w:hAnsi="Arial"/>
          <w:b/>
        </w:rPr>
        <w:t>each</w:t>
      </w:r>
      <w:r w:rsidR="004E46A3" w:rsidRPr="00927356">
        <w:rPr>
          <w:rFonts w:ascii="Arial" w:hAnsi="Arial"/>
          <w:b/>
        </w:rPr>
        <w:t xml:space="preserve"> payor/</w:t>
      </w:r>
      <w:proofErr w:type="gramStart"/>
      <w:r w:rsidR="004E46A3" w:rsidRPr="00927356">
        <w:rPr>
          <w:rFonts w:ascii="Arial" w:hAnsi="Arial"/>
          <w:b/>
        </w:rPr>
        <w:t>payee</w:t>
      </w:r>
      <w:proofErr w:type="gramEnd"/>
      <w:r w:rsidR="004E46A3" w:rsidRPr="00927356">
        <w:rPr>
          <w:rFonts w:ascii="Arial" w:hAnsi="Arial"/>
          <w:b/>
        </w:rPr>
        <w:t xml:space="preserve"> </w:t>
      </w:r>
      <w:r w:rsidR="007C1DFB" w:rsidRPr="00927356">
        <w:rPr>
          <w:rFonts w:ascii="Arial" w:hAnsi="Arial"/>
          <w:b/>
        </w:rPr>
        <w:t>and confirm that you both agree on the amount of the transfer and</w:t>
      </w:r>
      <w:r w:rsidR="007C68EC" w:rsidRPr="00927356">
        <w:rPr>
          <w:rFonts w:ascii="Arial" w:hAnsi="Arial"/>
          <w:b/>
        </w:rPr>
        <w:t xml:space="preserve"> on</w:t>
      </w:r>
      <w:r w:rsidR="007C1DFB" w:rsidRPr="00927356">
        <w:rPr>
          <w:rFonts w:ascii="Arial" w:hAnsi="Arial"/>
          <w:b/>
        </w:rPr>
        <w:t xml:space="preserve"> its classification as</w:t>
      </w:r>
      <w:r w:rsidRPr="00927356">
        <w:rPr>
          <w:rFonts w:ascii="Arial" w:hAnsi="Arial"/>
          <w:b/>
        </w:rPr>
        <w:t xml:space="preserve"> an interinstitutional transfer.</w:t>
      </w:r>
      <w:r w:rsidR="0099219D">
        <w:rPr>
          <w:rFonts w:ascii="Arial" w:hAnsi="Arial"/>
        </w:rPr>
        <w:t xml:space="preserve">  This step is important because total interinstitutional transfers among the UNC System must net to zero at year end.  If they do not, you will receive a call from an OSC Analyst.  </w:t>
      </w:r>
      <w:r>
        <w:rPr>
          <w:rFonts w:ascii="Arial" w:hAnsi="Arial"/>
        </w:rPr>
        <w:t xml:space="preserve">  </w:t>
      </w:r>
      <w:r w:rsidR="007C1DFB">
        <w:rPr>
          <w:rFonts w:ascii="Arial" w:hAnsi="Arial"/>
        </w:rPr>
        <w:t xml:space="preserve">  </w:t>
      </w:r>
    </w:p>
    <w:p w14:paraId="6F875F7F" w14:textId="77777777" w:rsidR="004E46A3" w:rsidRPr="00F019C8" w:rsidRDefault="004E46A3">
      <w:pPr>
        <w:spacing w:line="240" w:lineRule="exact"/>
        <w:rPr>
          <w:rFonts w:ascii="Arial" w:hAnsi="Arial"/>
        </w:rPr>
      </w:pPr>
    </w:p>
    <w:p w14:paraId="376784F9" w14:textId="09F44E8A" w:rsidR="004E46A3" w:rsidRPr="00F019C8" w:rsidRDefault="004E46A3">
      <w:pPr>
        <w:spacing w:line="240" w:lineRule="exact"/>
        <w:rPr>
          <w:rFonts w:ascii="Arial" w:hAnsi="Arial"/>
        </w:rPr>
      </w:pPr>
      <w:r w:rsidRPr="00F019C8">
        <w:rPr>
          <w:rFonts w:ascii="Arial" w:hAnsi="Arial"/>
        </w:rPr>
        <w:t xml:space="preserve">This worksheet will </w:t>
      </w:r>
      <w:r w:rsidR="000578C7">
        <w:rPr>
          <w:rFonts w:ascii="Arial" w:hAnsi="Arial"/>
        </w:rPr>
        <w:t xml:space="preserve">also </w:t>
      </w:r>
      <w:r w:rsidRPr="00F019C8">
        <w:rPr>
          <w:rFonts w:ascii="Arial" w:hAnsi="Arial"/>
        </w:rPr>
        <w:t>assist the university in identifying transfers that are not</w:t>
      </w:r>
      <w:r w:rsidR="007C68EC">
        <w:rPr>
          <w:rFonts w:ascii="Arial" w:hAnsi="Arial"/>
        </w:rPr>
        <w:t xml:space="preserve"> interinstitutional</w:t>
      </w:r>
      <w:r w:rsidR="000578C7">
        <w:rPr>
          <w:rFonts w:ascii="Arial" w:hAnsi="Arial"/>
        </w:rPr>
        <w:t xml:space="preserve"> transfers</w:t>
      </w:r>
      <w:r w:rsidR="007C68EC">
        <w:rPr>
          <w:rFonts w:ascii="Arial" w:hAnsi="Arial"/>
        </w:rPr>
        <w:t xml:space="preserve">.   </w:t>
      </w:r>
      <w:r w:rsidR="000578C7">
        <w:rPr>
          <w:rFonts w:ascii="Arial" w:hAnsi="Arial"/>
        </w:rPr>
        <w:t xml:space="preserve">If a transaction is not an interinstitutional transfer, it must be reclassified. </w:t>
      </w:r>
      <w:r w:rsidR="007C68EC">
        <w:rPr>
          <w:rFonts w:ascii="Arial" w:hAnsi="Arial"/>
        </w:rPr>
        <w:t>Correcting</w:t>
      </w:r>
      <w:r w:rsidRPr="00F019C8">
        <w:rPr>
          <w:rFonts w:ascii="Arial" w:hAnsi="Arial"/>
        </w:rPr>
        <w:t xml:space="preserve"> entries must be made before completion of the accrual process.</w:t>
      </w:r>
    </w:p>
    <w:p w14:paraId="1965056C" w14:textId="77777777" w:rsidR="004E46A3" w:rsidRPr="00F019C8" w:rsidRDefault="004E46A3">
      <w:pPr>
        <w:spacing w:line="240" w:lineRule="exact"/>
        <w:rPr>
          <w:rFonts w:ascii="Arial" w:hAnsi="Arial"/>
        </w:rPr>
      </w:pPr>
    </w:p>
    <w:p w14:paraId="538DC637" w14:textId="73FA0E8D" w:rsidR="004E46A3" w:rsidRPr="00F019C8" w:rsidRDefault="007C68EC">
      <w:pPr>
        <w:spacing w:line="240" w:lineRule="exact"/>
        <w:rPr>
          <w:rFonts w:ascii="Arial" w:hAnsi="Arial"/>
        </w:rPr>
      </w:pPr>
      <w:r>
        <w:rPr>
          <w:rFonts w:ascii="Arial" w:hAnsi="Arial"/>
        </w:rPr>
        <w:t xml:space="preserve">Please note that the total per </w:t>
      </w:r>
      <w:proofErr w:type="gramStart"/>
      <w:r>
        <w:rPr>
          <w:rFonts w:ascii="Arial" w:hAnsi="Arial"/>
        </w:rPr>
        <w:t>the worksheet</w:t>
      </w:r>
      <w:proofErr w:type="gramEnd"/>
      <w:r>
        <w:rPr>
          <w:rFonts w:ascii="Arial" w:hAnsi="Arial"/>
        </w:rPr>
        <w:t xml:space="preserve"> must </w:t>
      </w:r>
      <w:proofErr w:type="gramStart"/>
      <w:r>
        <w:rPr>
          <w:rFonts w:ascii="Arial" w:hAnsi="Arial"/>
        </w:rPr>
        <w:t>tie</w:t>
      </w:r>
      <w:proofErr w:type="gramEnd"/>
      <w:r>
        <w:rPr>
          <w:rFonts w:ascii="Arial" w:hAnsi="Arial"/>
        </w:rPr>
        <w:t xml:space="preserve"> to total Interinstitutional Transfers</w:t>
      </w:r>
      <w:r w:rsidR="00ED134A">
        <w:rPr>
          <w:rFonts w:ascii="Arial" w:hAnsi="Arial"/>
        </w:rPr>
        <w:t>/University Transfers</w:t>
      </w:r>
      <w:r>
        <w:rPr>
          <w:rFonts w:ascii="Arial" w:hAnsi="Arial"/>
        </w:rPr>
        <w:t xml:space="preserve"> per the</w:t>
      </w:r>
      <w:r w:rsidR="004E46A3" w:rsidRPr="00F019C8">
        <w:rPr>
          <w:rFonts w:ascii="Arial" w:hAnsi="Arial"/>
        </w:rPr>
        <w:t xml:space="preserve"> </w:t>
      </w:r>
      <w:r w:rsidR="00CD2B4A">
        <w:rPr>
          <w:rFonts w:ascii="Arial" w:hAnsi="Arial"/>
        </w:rPr>
        <w:t>NCFS</w:t>
      </w:r>
      <w:r w:rsidR="007C6CE0">
        <w:rPr>
          <w:rFonts w:ascii="Arial" w:hAnsi="Arial"/>
        </w:rPr>
        <w:t xml:space="preserve"> ACFR</w:t>
      </w:r>
      <w:r w:rsidR="00CD2B4A">
        <w:rPr>
          <w:rFonts w:ascii="Arial" w:hAnsi="Arial"/>
        </w:rPr>
        <w:t xml:space="preserve"> </w:t>
      </w:r>
      <w:r w:rsidR="004E46A3" w:rsidRPr="00F019C8">
        <w:rPr>
          <w:rFonts w:ascii="Arial" w:hAnsi="Arial"/>
        </w:rPr>
        <w:t>53P</w:t>
      </w:r>
      <w:r w:rsidR="008C002E">
        <w:rPr>
          <w:rFonts w:ascii="Arial" w:hAnsi="Arial"/>
        </w:rPr>
        <w:t>/</w:t>
      </w:r>
      <w:r w:rsidR="00927356">
        <w:rPr>
          <w:rFonts w:ascii="Arial" w:hAnsi="Arial"/>
        </w:rPr>
        <w:t>905/</w:t>
      </w:r>
      <w:r w:rsidR="008C002E">
        <w:rPr>
          <w:rFonts w:ascii="Arial" w:hAnsi="Arial"/>
        </w:rPr>
        <w:t>operating statement</w:t>
      </w:r>
      <w:r w:rsidR="004E46A3" w:rsidRPr="00F019C8">
        <w:rPr>
          <w:rFonts w:ascii="Arial" w:hAnsi="Arial"/>
        </w:rPr>
        <w:t>.</w:t>
      </w:r>
    </w:p>
    <w:p w14:paraId="00FA1EDA" w14:textId="77777777" w:rsidR="007C1DFB" w:rsidRDefault="007C1DFB">
      <w:pPr>
        <w:spacing w:line="240" w:lineRule="exact"/>
        <w:rPr>
          <w:rFonts w:ascii="Arial" w:hAnsi="Arial"/>
          <w:b/>
        </w:rPr>
      </w:pPr>
    </w:p>
    <w:p w14:paraId="167E2FC5" w14:textId="77777777" w:rsidR="004E46A3" w:rsidRPr="00F019C8" w:rsidRDefault="004E46A3">
      <w:pPr>
        <w:spacing w:line="240" w:lineRule="exact"/>
        <w:rPr>
          <w:rFonts w:ascii="Arial" w:hAnsi="Arial"/>
          <w:b/>
        </w:rPr>
      </w:pPr>
      <w:r w:rsidRPr="00F019C8">
        <w:rPr>
          <w:rFonts w:ascii="Arial" w:hAnsi="Arial"/>
          <w:b/>
        </w:rPr>
        <w:t>There is no threshold limit applicable to interinstitutional transfers.</w:t>
      </w:r>
    </w:p>
    <w:p w14:paraId="01FB503E" w14:textId="77777777" w:rsidR="00511776" w:rsidRDefault="00511776">
      <w:pPr>
        <w:pStyle w:val="Heading3"/>
        <w:spacing w:line="240" w:lineRule="auto"/>
        <w:jc w:val="left"/>
        <w:rPr>
          <w:rFonts w:ascii="Arial" w:hAnsi="Arial"/>
          <w:u w:val="single"/>
        </w:rPr>
      </w:pPr>
    </w:p>
    <w:p w14:paraId="214217EE" w14:textId="77777777" w:rsidR="004E46A3" w:rsidRDefault="004E46A3">
      <w:pPr>
        <w:pStyle w:val="Heading3"/>
        <w:spacing w:line="240" w:lineRule="auto"/>
        <w:jc w:val="left"/>
        <w:rPr>
          <w:rFonts w:ascii="Arial" w:hAnsi="Arial"/>
          <w:u w:val="single"/>
        </w:rPr>
      </w:pPr>
      <w:r>
        <w:rPr>
          <w:rFonts w:ascii="Arial" w:hAnsi="Arial"/>
          <w:u w:val="single"/>
        </w:rPr>
        <w:t>Receivables Worksheet (</w:t>
      </w:r>
      <w:r>
        <w:rPr>
          <w:rFonts w:ascii="Arial" w:hAnsi="Arial"/>
          <w:smallCaps w:val="0"/>
          <w:u w:val="single"/>
        </w:rPr>
        <w:t>570</w:t>
      </w:r>
      <w:r>
        <w:rPr>
          <w:rFonts w:ascii="Arial" w:hAnsi="Arial"/>
          <w:u w:val="single"/>
        </w:rPr>
        <w:t>)</w:t>
      </w:r>
    </w:p>
    <w:p w14:paraId="7F9CC689" w14:textId="7902AF18" w:rsidR="004E46A3" w:rsidRDefault="008767C8">
      <w:pPr>
        <w:rPr>
          <w:rFonts w:ascii="Arial" w:hAnsi="Arial"/>
        </w:rPr>
      </w:pPr>
      <w:r>
        <w:rPr>
          <w:rFonts w:ascii="Arial" w:hAnsi="Arial"/>
        </w:rPr>
        <w:t xml:space="preserve">Using the </w:t>
      </w:r>
      <w:r w:rsidR="00F546EA">
        <w:rPr>
          <w:rFonts w:ascii="Arial" w:hAnsi="Arial"/>
        </w:rPr>
        <w:t>NC ACFR</w:t>
      </w:r>
      <w:r>
        <w:rPr>
          <w:rFonts w:ascii="Arial" w:hAnsi="Arial"/>
        </w:rPr>
        <w:t xml:space="preserve"> 11G, identify any receivable caption that is $1,000,000 or greater and </w:t>
      </w:r>
      <w:r w:rsidRPr="00D733C7">
        <w:rPr>
          <w:rFonts w:ascii="Arial" w:hAnsi="Arial"/>
        </w:rPr>
        <w:t xml:space="preserve">record on the 570 worksheet </w:t>
      </w:r>
      <w:r w:rsidRPr="001F4E8A">
        <w:rPr>
          <w:rFonts w:ascii="Arial" w:hAnsi="Arial"/>
          <w:b/>
          <w:bCs/>
          <w:i/>
          <w:iCs/>
          <w:u w:val="single"/>
        </w:rPr>
        <w:t>the</w:t>
      </w:r>
      <w:r w:rsidR="004E46A3" w:rsidRPr="001F4E8A">
        <w:rPr>
          <w:rFonts w:ascii="Arial" w:hAnsi="Arial"/>
          <w:b/>
          <w:bCs/>
          <w:i/>
          <w:iCs/>
          <w:u w:val="single"/>
        </w:rPr>
        <w:t xml:space="preserve"> amount </w:t>
      </w:r>
      <w:r w:rsidRPr="001F4E8A">
        <w:rPr>
          <w:rFonts w:ascii="Arial" w:hAnsi="Arial"/>
          <w:b/>
          <w:bCs/>
          <w:i/>
          <w:iCs/>
          <w:u w:val="single"/>
        </w:rPr>
        <w:t>not expected to be repaid within one year</w:t>
      </w:r>
      <w:r w:rsidR="00215ED0" w:rsidRPr="001F4E8A">
        <w:rPr>
          <w:rFonts w:ascii="Arial" w:hAnsi="Arial"/>
          <w:u w:val="single"/>
        </w:rPr>
        <w:t>.</w:t>
      </w:r>
      <w:r w:rsidR="00215ED0">
        <w:rPr>
          <w:rFonts w:ascii="Arial" w:hAnsi="Arial"/>
        </w:rPr>
        <w:t xml:space="preserve">  In addition, a </w:t>
      </w:r>
      <w:r w:rsidR="004E46A3">
        <w:rPr>
          <w:rFonts w:ascii="Arial" w:hAnsi="Arial"/>
        </w:rPr>
        <w:t xml:space="preserve">description for </w:t>
      </w:r>
      <w:r w:rsidR="00215ED0">
        <w:rPr>
          <w:rFonts w:ascii="Arial" w:hAnsi="Arial"/>
        </w:rPr>
        <w:t>each receivable caption not expected to be collected within one year should be provided</w:t>
      </w:r>
      <w:r w:rsidR="004E46A3">
        <w:rPr>
          <w:rFonts w:ascii="Arial" w:hAnsi="Arial"/>
        </w:rPr>
        <w:t>.  (Include all accounts receivable, notes receivable, loans receivable,</w:t>
      </w:r>
      <w:r w:rsidR="00D733C7">
        <w:rPr>
          <w:rFonts w:ascii="Arial" w:hAnsi="Arial"/>
        </w:rPr>
        <w:t xml:space="preserve"> leases receivable</w:t>
      </w:r>
      <w:r w:rsidR="004E46A3">
        <w:rPr>
          <w:rFonts w:ascii="Arial" w:hAnsi="Arial"/>
        </w:rPr>
        <w:t xml:space="preserve"> etc.)</w:t>
      </w:r>
    </w:p>
    <w:p w14:paraId="3C797064" w14:textId="77777777" w:rsidR="004E46A3" w:rsidRDefault="004E46A3">
      <w:pPr>
        <w:rPr>
          <w:rFonts w:ascii="Arial" w:hAnsi="Arial"/>
        </w:rPr>
      </w:pPr>
    </w:p>
    <w:p w14:paraId="19D97CE1" w14:textId="547478D7" w:rsidR="004E46A3" w:rsidRDefault="004E46A3">
      <w:pPr>
        <w:rPr>
          <w:rFonts w:ascii="Arial" w:hAnsi="Arial"/>
        </w:rPr>
      </w:pPr>
      <w:r>
        <w:rPr>
          <w:rFonts w:ascii="Arial" w:hAnsi="Arial"/>
        </w:rPr>
        <w:t xml:space="preserve">A threshold of $1,000,000 per receivable statement caption applies to </w:t>
      </w:r>
      <w:r w:rsidR="007A135E">
        <w:rPr>
          <w:rFonts w:ascii="Arial" w:hAnsi="Arial"/>
        </w:rPr>
        <w:t>Worksheet 570</w:t>
      </w:r>
      <w:r w:rsidR="00BB6499">
        <w:rPr>
          <w:rFonts w:ascii="Arial" w:hAnsi="Arial"/>
        </w:rPr>
        <w:t xml:space="preserve">.  This worksheet </w:t>
      </w:r>
      <w:r w:rsidR="00E953EB">
        <w:rPr>
          <w:rFonts w:ascii="Arial" w:hAnsi="Arial"/>
        </w:rPr>
        <w:t xml:space="preserve">should be completed for </w:t>
      </w:r>
      <w:r w:rsidR="00E953EB" w:rsidRPr="00E953EB">
        <w:rPr>
          <w:rFonts w:ascii="Arial" w:hAnsi="Arial"/>
          <w:b/>
          <w:bCs/>
        </w:rPr>
        <w:t xml:space="preserve">each </w:t>
      </w:r>
      <w:r w:rsidR="00E953EB">
        <w:rPr>
          <w:rFonts w:ascii="Arial" w:hAnsi="Arial"/>
        </w:rPr>
        <w:t>governmental fund</w:t>
      </w:r>
      <w:r w:rsidR="003F3361">
        <w:rPr>
          <w:rFonts w:ascii="Arial" w:hAnsi="Arial"/>
        </w:rPr>
        <w:t xml:space="preserve"> (GASB 11XX</w:t>
      </w:r>
      <w:r w:rsidR="00F4463E">
        <w:rPr>
          <w:rFonts w:ascii="Arial" w:hAnsi="Arial"/>
        </w:rPr>
        <w:t xml:space="preserve"> – General</w:t>
      </w:r>
      <w:r w:rsidR="00812EF7">
        <w:rPr>
          <w:rFonts w:ascii="Arial" w:hAnsi="Arial"/>
        </w:rPr>
        <w:t>, GASB 12</w:t>
      </w:r>
      <w:r w:rsidR="008B639E">
        <w:rPr>
          <w:rFonts w:ascii="Arial" w:hAnsi="Arial"/>
        </w:rPr>
        <w:t>XX/13XX – Special Revenue</w:t>
      </w:r>
      <w:r w:rsidR="00226177">
        <w:rPr>
          <w:rFonts w:ascii="Arial" w:hAnsi="Arial"/>
        </w:rPr>
        <w:t>, GASB 14XX</w:t>
      </w:r>
      <w:r w:rsidR="00E52CD0">
        <w:rPr>
          <w:rFonts w:ascii="Arial" w:hAnsi="Arial"/>
        </w:rPr>
        <w:t xml:space="preserve"> – Capital Projects</w:t>
      </w:r>
      <w:r w:rsidR="00AA7A90">
        <w:rPr>
          <w:rFonts w:ascii="Arial" w:hAnsi="Arial"/>
        </w:rPr>
        <w:t>, and/or GASB 15XX – Permanent Funds</w:t>
      </w:r>
      <w:r w:rsidR="00EF576C">
        <w:rPr>
          <w:rFonts w:ascii="Arial" w:hAnsi="Arial"/>
        </w:rPr>
        <w:t>)</w:t>
      </w:r>
      <w:r w:rsidR="00DA352B">
        <w:rPr>
          <w:rFonts w:ascii="Arial" w:hAnsi="Arial"/>
        </w:rPr>
        <w:t xml:space="preserve"> that has a receivables caption of $1 million or gre</w:t>
      </w:r>
      <w:r w:rsidR="00E50DF9">
        <w:rPr>
          <w:rFonts w:ascii="Arial" w:hAnsi="Arial"/>
        </w:rPr>
        <w:t xml:space="preserve">ater.  </w:t>
      </w:r>
      <w:r w:rsidR="00BB6499">
        <w:rPr>
          <w:rFonts w:ascii="Arial" w:hAnsi="Arial"/>
        </w:rPr>
        <w:t xml:space="preserve">(NA for proprietary funds and component units). </w:t>
      </w:r>
    </w:p>
    <w:p w14:paraId="373A80D2" w14:textId="77777777" w:rsidR="001D2E6D" w:rsidRDefault="001D2E6D">
      <w:pPr>
        <w:rPr>
          <w:rFonts w:ascii="Arial" w:hAnsi="Arial"/>
        </w:rPr>
      </w:pPr>
    </w:p>
    <w:p w14:paraId="1B10F5CF" w14:textId="648BE79C" w:rsidR="001D2E6D" w:rsidRPr="00EF4888" w:rsidRDefault="0058348C">
      <w:pPr>
        <w:rPr>
          <w:rFonts w:ascii="Arial" w:hAnsi="Arial"/>
          <w:b/>
          <w:bCs/>
          <w:color w:val="FF0000"/>
          <w:highlight w:val="yellow"/>
          <w:u w:val="single"/>
        </w:rPr>
      </w:pPr>
      <w:r w:rsidRPr="00EF4888">
        <w:rPr>
          <w:rFonts w:ascii="Arial" w:hAnsi="Arial"/>
          <w:b/>
          <w:bCs/>
          <w:color w:val="FF0000"/>
          <w:highlight w:val="yellow"/>
          <w:u w:val="single"/>
        </w:rPr>
        <w:t>Schedule of Due from/Due to University Component Unit (616)</w:t>
      </w:r>
    </w:p>
    <w:p w14:paraId="4CC3F321" w14:textId="77777777" w:rsidR="00B811A5" w:rsidRPr="00EF4888" w:rsidRDefault="00B811A5" w:rsidP="00B811A5">
      <w:pPr>
        <w:rPr>
          <w:rFonts w:ascii="Arial" w:hAnsi="Arial"/>
          <w:b/>
          <w:color w:val="FF0000"/>
          <w:highlight w:val="yellow"/>
        </w:rPr>
      </w:pPr>
    </w:p>
    <w:p w14:paraId="71CC44C3" w14:textId="6D2497D9" w:rsidR="0058348C" w:rsidRPr="00EF4888" w:rsidRDefault="00C96D9C">
      <w:pPr>
        <w:rPr>
          <w:rFonts w:ascii="Arial" w:hAnsi="Arial"/>
          <w:b/>
          <w:color w:val="FF0000"/>
          <w:highlight w:val="yellow"/>
        </w:rPr>
      </w:pPr>
      <w:r w:rsidRPr="00EF4888">
        <w:rPr>
          <w:rFonts w:ascii="Arial" w:hAnsi="Arial"/>
          <w:b/>
          <w:color w:val="FF0000"/>
          <w:highlight w:val="yellow"/>
        </w:rPr>
        <w:t xml:space="preserve">This worksheet only applies to a </w:t>
      </w:r>
      <w:proofErr w:type="gramStart"/>
      <w:r w:rsidRPr="00EF4888">
        <w:rPr>
          <w:rFonts w:ascii="Arial" w:hAnsi="Arial"/>
          <w:b/>
          <w:color w:val="FF0000"/>
          <w:highlight w:val="yellow"/>
        </w:rPr>
        <w:t>University's</w:t>
      </w:r>
      <w:proofErr w:type="gramEnd"/>
      <w:r w:rsidRPr="00EF4888">
        <w:rPr>
          <w:rFonts w:ascii="Arial" w:hAnsi="Arial"/>
          <w:b/>
          <w:color w:val="FF0000"/>
          <w:highlight w:val="yellow"/>
        </w:rPr>
        <w:t xml:space="preserve"> transactions with its discretely presented</w:t>
      </w:r>
      <w:r w:rsidR="00787A76" w:rsidRPr="00EF4888">
        <w:rPr>
          <w:rFonts w:ascii="Arial" w:hAnsi="Arial"/>
          <w:b/>
          <w:color w:val="FF0000"/>
          <w:highlight w:val="yellow"/>
        </w:rPr>
        <w:t xml:space="preserve"> component unit. </w:t>
      </w:r>
    </w:p>
    <w:p w14:paraId="5A79A84F" w14:textId="77777777" w:rsidR="0014780B" w:rsidRPr="00EF4888" w:rsidRDefault="0014780B">
      <w:pPr>
        <w:rPr>
          <w:rFonts w:ascii="Arial" w:hAnsi="Arial"/>
          <w:b/>
          <w:color w:val="FF0000"/>
          <w:highlight w:val="yellow"/>
        </w:rPr>
      </w:pPr>
    </w:p>
    <w:p w14:paraId="507B6FA8" w14:textId="07ED4F1C" w:rsidR="0014780B" w:rsidRPr="00610BCA" w:rsidRDefault="000001D2">
      <w:pPr>
        <w:rPr>
          <w:rFonts w:ascii="Arial" w:hAnsi="Arial"/>
          <w:color w:val="FF0000"/>
        </w:rPr>
      </w:pPr>
      <w:r w:rsidRPr="00EF4888">
        <w:rPr>
          <w:rFonts w:ascii="Arial" w:hAnsi="Arial"/>
          <w:color w:val="FF0000"/>
          <w:highlight w:val="yellow"/>
        </w:rPr>
        <w:t xml:space="preserve">The amount reported as </w:t>
      </w:r>
      <w:r w:rsidR="004476D7" w:rsidRPr="00EF4888">
        <w:rPr>
          <w:rFonts w:ascii="Arial" w:hAnsi="Arial"/>
          <w:color w:val="FF0000"/>
          <w:highlight w:val="yellow"/>
        </w:rPr>
        <w:t>current</w:t>
      </w:r>
      <w:r w:rsidR="000A22BE" w:rsidRPr="00EF4888">
        <w:rPr>
          <w:rFonts w:ascii="Arial" w:hAnsi="Arial"/>
          <w:color w:val="FF0000"/>
          <w:highlight w:val="yellow"/>
        </w:rPr>
        <w:t xml:space="preserve"> portion of</w:t>
      </w:r>
      <w:r w:rsidR="004476D7" w:rsidRPr="00EF4888">
        <w:rPr>
          <w:rFonts w:ascii="Arial" w:hAnsi="Arial"/>
          <w:color w:val="FF0000"/>
          <w:highlight w:val="yellow"/>
        </w:rPr>
        <w:t xml:space="preserve"> </w:t>
      </w:r>
      <w:r w:rsidRPr="00EF4888">
        <w:rPr>
          <w:rFonts w:ascii="Arial" w:hAnsi="Arial"/>
          <w:color w:val="FF0000"/>
          <w:highlight w:val="yellow"/>
        </w:rPr>
        <w:t>due from the component unit</w:t>
      </w:r>
      <w:r w:rsidR="00651A8F" w:rsidRPr="00EF4888">
        <w:rPr>
          <w:rFonts w:ascii="Arial" w:hAnsi="Arial"/>
          <w:color w:val="FF0000"/>
          <w:highlight w:val="yellow"/>
        </w:rPr>
        <w:t xml:space="preserve"> in account 114800000 and/or </w:t>
      </w:r>
      <w:r w:rsidRPr="00EF4888">
        <w:rPr>
          <w:rFonts w:ascii="Arial" w:hAnsi="Arial"/>
          <w:color w:val="FF0000"/>
          <w:highlight w:val="yellow"/>
        </w:rPr>
        <w:t>due to the</w:t>
      </w:r>
      <w:r w:rsidR="00610BCA" w:rsidRPr="00EF4888">
        <w:rPr>
          <w:rFonts w:ascii="Arial" w:hAnsi="Arial"/>
          <w:color w:val="FF0000"/>
          <w:highlight w:val="yellow"/>
        </w:rPr>
        <w:t xml:space="preserve"> component unit)</w:t>
      </w:r>
      <w:r w:rsidR="00642CBD" w:rsidRPr="00EF4888">
        <w:rPr>
          <w:rFonts w:ascii="Arial" w:hAnsi="Arial"/>
          <w:color w:val="FF0000"/>
          <w:highlight w:val="yellow"/>
        </w:rPr>
        <w:t xml:space="preserve"> in account </w:t>
      </w:r>
      <w:r w:rsidR="00651A8F" w:rsidRPr="00EF4888">
        <w:rPr>
          <w:rFonts w:ascii="Arial" w:hAnsi="Arial"/>
          <w:color w:val="FF0000"/>
          <w:highlight w:val="yellow"/>
        </w:rPr>
        <w:t>212700</w:t>
      </w:r>
      <w:r w:rsidR="00651A8F" w:rsidRPr="00B97E9C">
        <w:rPr>
          <w:rFonts w:ascii="Arial" w:hAnsi="Arial"/>
          <w:color w:val="FF0000"/>
          <w:highlight w:val="yellow"/>
        </w:rPr>
        <w:t>00.</w:t>
      </w:r>
      <w:r w:rsidR="00673115" w:rsidRPr="00B97E9C">
        <w:rPr>
          <w:rFonts w:ascii="Arial" w:hAnsi="Arial"/>
          <w:color w:val="FF0000"/>
          <w:highlight w:val="yellow"/>
        </w:rPr>
        <w:t xml:space="preserve"> Confirm the amount that the foundation reports on their templates agrees to </w:t>
      </w:r>
      <w:r w:rsidR="00955A39" w:rsidRPr="00B97E9C">
        <w:rPr>
          <w:rFonts w:ascii="Arial" w:hAnsi="Arial"/>
          <w:color w:val="FF0000"/>
          <w:highlight w:val="yellow"/>
        </w:rPr>
        <w:t>WS 616.</w:t>
      </w:r>
    </w:p>
    <w:p w14:paraId="7AD73FC3" w14:textId="77777777" w:rsidR="00584BA3" w:rsidRDefault="00584BA3">
      <w:pPr>
        <w:pStyle w:val="BodyText3"/>
        <w:spacing w:line="240" w:lineRule="auto"/>
        <w:rPr>
          <w:rFonts w:ascii="Arial" w:hAnsi="Arial"/>
          <w:caps w:val="0"/>
          <w:smallCaps/>
        </w:rPr>
      </w:pPr>
    </w:p>
    <w:p w14:paraId="40A65932" w14:textId="2EB616E0" w:rsidR="004E46A3" w:rsidRPr="003454A2" w:rsidRDefault="00777B17">
      <w:pPr>
        <w:pStyle w:val="BodyText3"/>
        <w:spacing w:line="240" w:lineRule="auto"/>
        <w:rPr>
          <w:rFonts w:ascii="Arial" w:hAnsi="Arial"/>
          <w:caps w:val="0"/>
          <w:smallCaps/>
        </w:rPr>
      </w:pPr>
      <w:r w:rsidRPr="003454A2">
        <w:rPr>
          <w:rFonts w:ascii="Arial" w:hAnsi="Arial"/>
          <w:caps w:val="0"/>
          <w:smallCaps/>
        </w:rPr>
        <w:t>Analysis of Unavailable Revenues</w:t>
      </w:r>
      <w:r w:rsidR="004E46A3" w:rsidRPr="003454A2">
        <w:rPr>
          <w:rFonts w:ascii="Arial" w:hAnsi="Arial"/>
          <w:caps w:val="0"/>
          <w:smallCaps/>
        </w:rPr>
        <w:t xml:space="preserve"> (620)</w:t>
      </w:r>
    </w:p>
    <w:p w14:paraId="48B8994C" w14:textId="77777777" w:rsidR="004E46A3" w:rsidRDefault="004E46A3">
      <w:pPr>
        <w:rPr>
          <w:rFonts w:ascii="Arial" w:hAnsi="Arial"/>
        </w:rPr>
      </w:pPr>
    </w:p>
    <w:p w14:paraId="6CDDD30C" w14:textId="63D94E1B" w:rsidR="004E46A3" w:rsidRDefault="004E46A3">
      <w:pPr>
        <w:rPr>
          <w:rFonts w:ascii="Arial" w:hAnsi="Arial"/>
          <w:b/>
        </w:rPr>
      </w:pPr>
      <w:r>
        <w:rPr>
          <w:rFonts w:ascii="Arial" w:hAnsi="Arial"/>
          <w:b/>
        </w:rPr>
        <w:t>This worksheet is needed to prepare the government</w:t>
      </w:r>
      <w:r w:rsidR="00955C5E">
        <w:rPr>
          <w:rFonts w:ascii="Arial" w:hAnsi="Arial"/>
          <w:b/>
        </w:rPr>
        <w:t>-</w:t>
      </w:r>
      <w:r>
        <w:rPr>
          <w:rFonts w:ascii="Arial" w:hAnsi="Arial"/>
          <w:b/>
        </w:rPr>
        <w:t>wide financial statements.</w:t>
      </w:r>
    </w:p>
    <w:p w14:paraId="72C97D96" w14:textId="77777777" w:rsidR="009111A8" w:rsidRDefault="009111A8">
      <w:pPr>
        <w:rPr>
          <w:rFonts w:ascii="Arial" w:hAnsi="Arial"/>
          <w:b/>
        </w:rPr>
      </w:pPr>
    </w:p>
    <w:p w14:paraId="14F6566B" w14:textId="6C4F4FE3" w:rsidR="004E46A3" w:rsidRDefault="009111A8">
      <w:pPr>
        <w:rPr>
          <w:rFonts w:ascii="Arial" w:hAnsi="Arial"/>
        </w:rPr>
      </w:pPr>
      <w:proofErr w:type="gramStart"/>
      <w:r>
        <w:rPr>
          <w:rFonts w:ascii="Arial" w:hAnsi="Arial"/>
        </w:rPr>
        <w:t>W</w:t>
      </w:r>
      <w:r w:rsidR="004E46A3">
        <w:rPr>
          <w:rFonts w:ascii="Arial" w:hAnsi="Arial"/>
        </w:rPr>
        <w:t>orksheet</w:t>
      </w:r>
      <w:proofErr w:type="gramEnd"/>
      <w:r w:rsidR="004E46A3">
        <w:rPr>
          <w:rFonts w:ascii="Arial" w:hAnsi="Arial"/>
        </w:rPr>
        <w:t xml:space="preserve"> should be completed for amounts recorded in account </w:t>
      </w:r>
      <w:r w:rsidR="002D7B80">
        <w:rPr>
          <w:rFonts w:ascii="Arial" w:hAnsi="Arial"/>
          <w:b/>
        </w:rPr>
        <w:t>7</w:t>
      </w:r>
      <w:r w:rsidR="00D14784">
        <w:rPr>
          <w:rFonts w:ascii="Arial" w:hAnsi="Arial"/>
          <w:b/>
        </w:rPr>
        <w:t>1100001</w:t>
      </w:r>
      <w:r w:rsidR="004E46A3">
        <w:rPr>
          <w:rFonts w:ascii="Arial" w:hAnsi="Arial"/>
        </w:rPr>
        <w:t xml:space="preserve"> Unavailable </w:t>
      </w:r>
      <w:r w:rsidR="00777B17">
        <w:rPr>
          <w:rFonts w:ascii="Arial" w:hAnsi="Arial"/>
        </w:rPr>
        <w:t>Revenues</w:t>
      </w:r>
      <w:r w:rsidR="004E46A3">
        <w:rPr>
          <w:rFonts w:ascii="Arial" w:hAnsi="Arial"/>
        </w:rPr>
        <w:t xml:space="preserve">.  </w:t>
      </w:r>
    </w:p>
    <w:p w14:paraId="0DAACB8C" w14:textId="77777777" w:rsidR="009111A8" w:rsidRDefault="009111A8">
      <w:pPr>
        <w:rPr>
          <w:rFonts w:ascii="Arial" w:hAnsi="Arial"/>
        </w:rPr>
      </w:pPr>
    </w:p>
    <w:p w14:paraId="4DC61BB3" w14:textId="77777777" w:rsidR="007E5625" w:rsidRDefault="00F5193F">
      <w:pPr>
        <w:rPr>
          <w:rFonts w:ascii="Arial" w:hAnsi="Arial" w:cs="Arial"/>
        </w:rPr>
      </w:pPr>
      <w:r w:rsidRPr="008079EE">
        <w:rPr>
          <w:rFonts w:ascii="Arial" w:hAnsi="Arial" w:cs="Arial"/>
          <w:b/>
        </w:rPr>
        <w:t>Function</w:t>
      </w:r>
      <w:proofErr w:type="gramStart"/>
      <w:r w:rsidRPr="008079EE">
        <w:rPr>
          <w:rFonts w:ascii="Arial" w:hAnsi="Arial" w:cs="Arial"/>
          <w:b/>
        </w:rPr>
        <w:t>:</w:t>
      </w:r>
      <w:r>
        <w:rPr>
          <w:rFonts w:ascii="Arial" w:hAnsi="Arial" w:cs="Arial"/>
        </w:rPr>
        <w:t xml:space="preserve">  </w:t>
      </w:r>
      <w:r w:rsidRPr="008079EE">
        <w:rPr>
          <w:rFonts w:ascii="Arial" w:hAnsi="Arial" w:cs="Arial"/>
        </w:rPr>
        <w:t>State</w:t>
      </w:r>
      <w:proofErr w:type="gramEnd"/>
      <w:r w:rsidRPr="008079EE">
        <w:rPr>
          <w:rFonts w:ascii="Arial" w:hAnsi="Arial" w:cs="Arial"/>
        </w:rPr>
        <w:t xml:space="preserve"> agencies must select a function</w:t>
      </w:r>
      <w:r>
        <w:rPr>
          <w:rFonts w:ascii="Arial" w:hAnsi="Arial" w:cs="Arial"/>
        </w:rPr>
        <w:t xml:space="preserve"> in the drop-down box. The function selected relates to the revenue statement caption. </w:t>
      </w:r>
      <w:r w:rsidRPr="00F5193F">
        <w:rPr>
          <w:rFonts w:ascii="Arial" w:hAnsi="Arial" w:cs="Arial"/>
        </w:rPr>
        <w:t xml:space="preserve">If </w:t>
      </w:r>
      <w:r>
        <w:rPr>
          <w:rFonts w:ascii="Arial" w:hAnsi="Arial" w:cs="Arial"/>
        </w:rPr>
        <w:t>a t</w:t>
      </w:r>
      <w:r w:rsidRPr="00F5193F">
        <w:rPr>
          <w:rFonts w:ascii="Arial" w:hAnsi="Arial" w:cs="Arial"/>
        </w:rPr>
        <w:t xml:space="preserve">ax </w:t>
      </w:r>
      <w:r>
        <w:rPr>
          <w:rFonts w:ascii="Arial" w:hAnsi="Arial" w:cs="Arial"/>
        </w:rPr>
        <w:t xml:space="preserve">revenue account or </w:t>
      </w:r>
      <w:r w:rsidRPr="00F5193F">
        <w:rPr>
          <w:rFonts w:ascii="Arial" w:hAnsi="Arial" w:cs="Arial"/>
        </w:rPr>
        <w:t xml:space="preserve">tobacco settlement </w:t>
      </w:r>
      <w:r>
        <w:rPr>
          <w:rFonts w:ascii="Arial" w:hAnsi="Arial" w:cs="Arial"/>
        </w:rPr>
        <w:t>account (</w:t>
      </w:r>
      <w:r w:rsidRPr="00F5193F">
        <w:rPr>
          <w:rFonts w:ascii="Arial" w:hAnsi="Arial" w:cs="Arial"/>
        </w:rPr>
        <w:t>General Revenue</w:t>
      </w:r>
      <w:r>
        <w:rPr>
          <w:rFonts w:ascii="Arial" w:hAnsi="Arial" w:cs="Arial"/>
        </w:rPr>
        <w:t>s) is selected as the revenue statement caption,</w:t>
      </w:r>
      <w:r w:rsidRPr="00F5193F">
        <w:rPr>
          <w:rFonts w:ascii="Arial" w:hAnsi="Arial" w:cs="Arial"/>
        </w:rPr>
        <w:t xml:space="preserve"> </w:t>
      </w:r>
      <w:r>
        <w:rPr>
          <w:rFonts w:ascii="Arial" w:hAnsi="Arial" w:cs="Arial"/>
        </w:rPr>
        <w:t>select</w:t>
      </w:r>
      <w:r w:rsidRPr="00F5193F">
        <w:rPr>
          <w:rFonts w:ascii="Arial" w:hAnsi="Arial" w:cs="Arial"/>
        </w:rPr>
        <w:t xml:space="preserve"> “No function”</w:t>
      </w:r>
      <w:r>
        <w:rPr>
          <w:rFonts w:ascii="Arial" w:hAnsi="Arial" w:cs="Arial"/>
        </w:rPr>
        <w:t>. If other revenue accounts are selected such as, Fees, Licenses and Fines or Sales and Services</w:t>
      </w:r>
      <w:r w:rsidR="009111A8">
        <w:rPr>
          <w:rFonts w:ascii="Arial" w:hAnsi="Arial" w:cs="Arial"/>
        </w:rPr>
        <w:t xml:space="preserve"> (program revenues)</w:t>
      </w:r>
      <w:r>
        <w:rPr>
          <w:rFonts w:ascii="Arial" w:hAnsi="Arial" w:cs="Arial"/>
        </w:rPr>
        <w:t>, select the appropriate function</w:t>
      </w:r>
      <w:r w:rsidR="009111A8">
        <w:rPr>
          <w:rFonts w:ascii="Arial" w:hAnsi="Arial" w:cs="Arial"/>
        </w:rPr>
        <w:t>, such as “General Government”, “Transportation”, etc</w:t>
      </w:r>
      <w:r>
        <w:rPr>
          <w:rFonts w:ascii="Arial" w:hAnsi="Arial" w:cs="Arial"/>
        </w:rPr>
        <w:t xml:space="preserve">. </w:t>
      </w:r>
      <w:r w:rsidRPr="00F5193F">
        <w:rPr>
          <w:rFonts w:ascii="Arial" w:hAnsi="Arial" w:cs="Arial"/>
        </w:rPr>
        <w:t xml:space="preserve">If </w:t>
      </w:r>
      <w:r>
        <w:rPr>
          <w:rFonts w:ascii="Arial" w:hAnsi="Arial" w:cs="Arial"/>
        </w:rPr>
        <w:t xml:space="preserve">an </w:t>
      </w:r>
      <w:r w:rsidRPr="00F5193F">
        <w:rPr>
          <w:rFonts w:ascii="Arial" w:hAnsi="Arial" w:cs="Arial"/>
        </w:rPr>
        <w:t>agenc</w:t>
      </w:r>
      <w:r>
        <w:rPr>
          <w:rFonts w:ascii="Arial" w:hAnsi="Arial" w:cs="Arial"/>
        </w:rPr>
        <w:t>y</w:t>
      </w:r>
      <w:r w:rsidR="00541554">
        <w:rPr>
          <w:rFonts w:ascii="Arial" w:hAnsi="Arial" w:cs="Arial"/>
        </w:rPr>
        <w:t xml:space="preserve"> needs to select a </w:t>
      </w:r>
    </w:p>
    <w:p w14:paraId="5785A3DF" w14:textId="442184B5" w:rsidR="00F5193F" w:rsidRDefault="00541554">
      <w:pPr>
        <w:rPr>
          <w:rFonts w:ascii="Arial" w:hAnsi="Arial"/>
        </w:rPr>
      </w:pPr>
      <w:r>
        <w:rPr>
          <w:rFonts w:ascii="Arial" w:hAnsi="Arial" w:cs="Arial"/>
        </w:rPr>
        <w:t>Taxes account (general revenue</w:t>
      </w:r>
      <w:r w:rsidR="009111A8">
        <w:rPr>
          <w:rFonts w:ascii="Arial" w:hAnsi="Arial" w:cs="Arial"/>
        </w:rPr>
        <w:t>s</w:t>
      </w:r>
      <w:r>
        <w:rPr>
          <w:rFonts w:ascii="Arial" w:hAnsi="Arial" w:cs="Arial"/>
        </w:rPr>
        <w:t xml:space="preserve">) and </w:t>
      </w:r>
      <w:r w:rsidR="009111A8">
        <w:rPr>
          <w:rFonts w:ascii="Arial" w:hAnsi="Arial" w:cs="Arial"/>
        </w:rPr>
        <w:t xml:space="preserve">a </w:t>
      </w:r>
      <w:r>
        <w:rPr>
          <w:rFonts w:ascii="Arial" w:hAnsi="Arial" w:cs="Arial"/>
        </w:rPr>
        <w:t>program revenue account</w:t>
      </w:r>
      <w:r w:rsidR="009111A8">
        <w:rPr>
          <w:rFonts w:ascii="Arial" w:hAnsi="Arial" w:cs="Arial"/>
        </w:rPr>
        <w:t>(s)</w:t>
      </w:r>
      <w:r>
        <w:rPr>
          <w:rFonts w:ascii="Arial" w:hAnsi="Arial" w:cs="Arial"/>
        </w:rPr>
        <w:t>, such as Fees, License</w:t>
      </w:r>
      <w:r w:rsidR="009111A8">
        <w:rPr>
          <w:rFonts w:ascii="Arial" w:hAnsi="Arial" w:cs="Arial"/>
        </w:rPr>
        <w:t>s</w:t>
      </w:r>
      <w:r>
        <w:rPr>
          <w:rFonts w:ascii="Arial" w:hAnsi="Arial" w:cs="Arial"/>
        </w:rPr>
        <w:t xml:space="preserve"> and Fines or Sales and Services, requiring </w:t>
      </w:r>
      <w:r w:rsidR="00F5193F" w:rsidRPr="00F5193F">
        <w:rPr>
          <w:rFonts w:ascii="Arial" w:hAnsi="Arial" w:cs="Arial"/>
        </w:rPr>
        <w:t xml:space="preserve">more than </w:t>
      </w:r>
      <w:r w:rsidR="009111A8">
        <w:rPr>
          <w:rFonts w:ascii="Arial" w:hAnsi="Arial" w:cs="Arial"/>
        </w:rPr>
        <w:t>one</w:t>
      </w:r>
      <w:r w:rsidR="00F5193F" w:rsidRPr="00F5193F">
        <w:rPr>
          <w:rFonts w:ascii="Arial" w:hAnsi="Arial" w:cs="Arial"/>
        </w:rPr>
        <w:t xml:space="preserve"> function</w:t>
      </w:r>
      <w:r w:rsidR="009111A8">
        <w:rPr>
          <w:rFonts w:ascii="Arial" w:hAnsi="Arial" w:cs="Arial"/>
        </w:rPr>
        <w:t xml:space="preserve"> to be selected</w:t>
      </w:r>
      <w:r w:rsidR="00F5193F" w:rsidRPr="00F5193F">
        <w:rPr>
          <w:rFonts w:ascii="Arial" w:hAnsi="Arial" w:cs="Arial"/>
        </w:rPr>
        <w:t xml:space="preserve">, </w:t>
      </w:r>
      <w:r>
        <w:rPr>
          <w:rFonts w:ascii="Arial" w:hAnsi="Arial" w:cs="Arial"/>
        </w:rPr>
        <w:t>i.e., “No function</w:t>
      </w:r>
      <w:r w:rsidR="009111A8">
        <w:rPr>
          <w:rFonts w:ascii="Arial" w:hAnsi="Arial" w:cs="Arial"/>
        </w:rPr>
        <w:t>”</w:t>
      </w:r>
      <w:r>
        <w:rPr>
          <w:rFonts w:ascii="Arial" w:hAnsi="Arial" w:cs="Arial"/>
        </w:rPr>
        <w:t xml:space="preserve"> and “Transpor</w:t>
      </w:r>
      <w:r w:rsidR="00F5193F" w:rsidRPr="00F5193F">
        <w:rPr>
          <w:rFonts w:ascii="Arial" w:hAnsi="Arial" w:cs="Arial"/>
        </w:rPr>
        <w:t>tation</w:t>
      </w:r>
      <w:r>
        <w:rPr>
          <w:rFonts w:ascii="Arial" w:hAnsi="Arial" w:cs="Arial"/>
        </w:rPr>
        <w:t>”</w:t>
      </w:r>
      <w:r w:rsidR="00F5193F" w:rsidRPr="00F5193F">
        <w:rPr>
          <w:rFonts w:ascii="Arial" w:hAnsi="Arial" w:cs="Arial"/>
        </w:rPr>
        <w:t xml:space="preserve">, then </w:t>
      </w:r>
      <w:r>
        <w:rPr>
          <w:rFonts w:ascii="Arial" w:hAnsi="Arial" w:cs="Arial"/>
        </w:rPr>
        <w:t xml:space="preserve">the agency should </w:t>
      </w:r>
      <w:r w:rsidR="00F5193F" w:rsidRPr="00F5193F">
        <w:rPr>
          <w:rFonts w:ascii="Arial" w:hAnsi="Arial" w:cs="Arial"/>
        </w:rPr>
        <w:t xml:space="preserve">select </w:t>
      </w:r>
      <w:r>
        <w:rPr>
          <w:rFonts w:ascii="Arial" w:hAnsi="Arial" w:cs="Arial"/>
        </w:rPr>
        <w:t>“</w:t>
      </w:r>
      <w:r w:rsidR="00F5193F" w:rsidRPr="00F5193F">
        <w:rPr>
          <w:rFonts w:ascii="Arial" w:hAnsi="Arial" w:cs="Arial"/>
        </w:rPr>
        <w:t>Transportation</w:t>
      </w:r>
      <w:r>
        <w:rPr>
          <w:rFonts w:ascii="Arial" w:hAnsi="Arial" w:cs="Arial"/>
        </w:rPr>
        <w:t xml:space="preserve">”. The agency also has the option to create a second 620 WS and provide the data for one function on one tab and </w:t>
      </w:r>
      <w:r w:rsidR="009111A8">
        <w:rPr>
          <w:rFonts w:ascii="Arial" w:hAnsi="Arial" w:cs="Arial"/>
        </w:rPr>
        <w:t xml:space="preserve">the </w:t>
      </w:r>
      <w:r>
        <w:rPr>
          <w:rFonts w:ascii="Arial" w:hAnsi="Arial" w:cs="Arial"/>
        </w:rPr>
        <w:t xml:space="preserve">other function on the second tab. </w:t>
      </w:r>
    </w:p>
    <w:p w14:paraId="7CCE4572" w14:textId="77777777" w:rsidR="009111A8" w:rsidRDefault="009111A8">
      <w:pPr>
        <w:rPr>
          <w:rFonts w:ascii="Arial" w:hAnsi="Arial"/>
        </w:rPr>
      </w:pPr>
    </w:p>
    <w:p w14:paraId="495DFF71" w14:textId="5D182FF6" w:rsidR="004E46A3" w:rsidRDefault="004E46A3">
      <w:pPr>
        <w:rPr>
          <w:rFonts w:ascii="Arial" w:hAnsi="Arial"/>
        </w:rPr>
      </w:pPr>
      <w:r>
        <w:rPr>
          <w:rFonts w:ascii="Arial" w:hAnsi="Arial"/>
        </w:rPr>
        <w:t xml:space="preserve">The revenue statement caption column information is </w:t>
      </w:r>
      <w:r w:rsidR="00E75522">
        <w:rPr>
          <w:rFonts w:ascii="Arial" w:hAnsi="Arial"/>
        </w:rPr>
        <w:t xml:space="preserve">the </w:t>
      </w:r>
      <w:r>
        <w:rPr>
          <w:rFonts w:ascii="Arial" w:hAnsi="Arial"/>
        </w:rPr>
        <w:t xml:space="preserve">revenue statement caption on the </w:t>
      </w:r>
      <w:r w:rsidR="00B14F8E">
        <w:rPr>
          <w:rFonts w:ascii="Arial" w:hAnsi="Arial"/>
        </w:rPr>
        <w:t>NC</w:t>
      </w:r>
      <w:r w:rsidR="00C73A27">
        <w:rPr>
          <w:rFonts w:ascii="Arial" w:hAnsi="Arial"/>
        </w:rPr>
        <w:t>FS</w:t>
      </w:r>
      <w:r w:rsidR="00B14F8E">
        <w:rPr>
          <w:rFonts w:ascii="Arial" w:hAnsi="Arial"/>
        </w:rPr>
        <w:t xml:space="preserve"> ACFR </w:t>
      </w:r>
      <w:r>
        <w:rPr>
          <w:rFonts w:ascii="Arial" w:hAnsi="Arial"/>
        </w:rPr>
        <w:t>52G.  For Taxes statement caption, however, the amounts sho</w:t>
      </w:r>
      <w:r w:rsidR="00E75522">
        <w:rPr>
          <w:rFonts w:ascii="Arial" w:hAnsi="Arial"/>
        </w:rPr>
        <w:t xml:space="preserve">uld be detailed by type of tax </w:t>
      </w:r>
      <w:r>
        <w:rPr>
          <w:rFonts w:ascii="Arial" w:hAnsi="Arial"/>
        </w:rPr>
        <w:t>(Individual, corporate, etc.).</w:t>
      </w:r>
      <w:r w:rsidR="00D13048">
        <w:rPr>
          <w:rFonts w:ascii="Arial" w:hAnsi="Arial"/>
        </w:rPr>
        <w:t xml:space="preserve"> </w:t>
      </w:r>
      <w:r w:rsidR="00D13048" w:rsidRPr="008079EE">
        <w:rPr>
          <w:rFonts w:ascii="Arial" w:hAnsi="Arial"/>
        </w:rPr>
        <w:t xml:space="preserve">Select the revenue </w:t>
      </w:r>
      <w:r w:rsidR="009111A8" w:rsidRPr="008079EE">
        <w:rPr>
          <w:rFonts w:ascii="Arial" w:hAnsi="Arial"/>
        </w:rPr>
        <w:t>statement caption</w:t>
      </w:r>
      <w:r w:rsidR="00D13048" w:rsidRPr="008079EE">
        <w:rPr>
          <w:rFonts w:ascii="Arial" w:hAnsi="Arial"/>
        </w:rPr>
        <w:t xml:space="preserve"> from the drop</w:t>
      </w:r>
      <w:r w:rsidR="00F5193F" w:rsidRPr="008079EE">
        <w:rPr>
          <w:rFonts w:ascii="Arial" w:hAnsi="Arial"/>
        </w:rPr>
        <w:t>-</w:t>
      </w:r>
      <w:r w:rsidR="00D13048" w:rsidRPr="008079EE">
        <w:rPr>
          <w:rFonts w:ascii="Arial" w:hAnsi="Arial"/>
        </w:rPr>
        <w:t>down box. If the revenue</w:t>
      </w:r>
      <w:r w:rsidR="009111A8" w:rsidRPr="008079EE">
        <w:rPr>
          <w:rFonts w:ascii="Arial" w:hAnsi="Arial"/>
        </w:rPr>
        <w:t xml:space="preserve"> statement caption</w:t>
      </w:r>
      <w:r w:rsidR="00D13048" w:rsidRPr="008079EE">
        <w:rPr>
          <w:rFonts w:ascii="Arial" w:hAnsi="Arial"/>
        </w:rPr>
        <w:t xml:space="preserve"> needed is not listed, contact your OSC analyst.</w:t>
      </w:r>
      <w:r w:rsidR="00D13048">
        <w:rPr>
          <w:rFonts w:ascii="Arial" w:hAnsi="Arial"/>
        </w:rPr>
        <w:t xml:space="preserve"> </w:t>
      </w:r>
    </w:p>
    <w:p w14:paraId="361D7136" w14:textId="77777777" w:rsidR="004E46A3" w:rsidRDefault="004E46A3">
      <w:pPr>
        <w:rPr>
          <w:rFonts w:ascii="Arial" w:hAnsi="Arial"/>
        </w:rPr>
      </w:pPr>
    </w:p>
    <w:p w14:paraId="228CF252" w14:textId="7593FBC2" w:rsidR="004E46A3" w:rsidRDefault="004E46A3" w:rsidP="00621EAC">
      <w:pPr>
        <w:rPr>
          <w:rFonts w:ascii="Arial" w:hAnsi="Arial"/>
        </w:rPr>
      </w:pPr>
      <w:r>
        <w:rPr>
          <w:rFonts w:ascii="Arial" w:hAnsi="Arial"/>
        </w:rPr>
        <w:t xml:space="preserve">The Beginning Balance July 1, </w:t>
      </w:r>
      <w:r w:rsidR="008B262D">
        <w:rPr>
          <w:rFonts w:ascii="Arial" w:hAnsi="Arial"/>
        </w:rPr>
        <w:t>2024,</w:t>
      </w:r>
      <w:r>
        <w:rPr>
          <w:rFonts w:ascii="Arial" w:hAnsi="Arial"/>
        </w:rPr>
        <w:t xml:space="preserve"> must agree with the balance</w:t>
      </w:r>
      <w:r w:rsidR="00502AF3">
        <w:rPr>
          <w:rFonts w:ascii="Arial" w:hAnsi="Arial"/>
        </w:rPr>
        <w:t xml:space="preserve"> in </w:t>
      </w:r>
      <w:r w:rsidR="00BF109E">
        <w:rPr>
          <w:rFonts w:ascii="Arial" w:hAnsi="Arial"/>
        </w:rPr>
        <w:t xml:space="preserve">the </w:t>
      </w:r>
      <w:r w:rsidR="00502AF3">
        <w:rPr>
          <w:rFonts w:ascii="Arial" w:hAnsi="Arial"/>
        </w:rPr>
        <w:t xml:space="preserve">account </w:t>
      </w:r>
      <w:r w:rsidR="001A6455">
        <w:rPr>
          <w:rFonts w:ascii="Arial" w:hAnsi="Arial"/>
        </w:rPr>
        <w:t xml:space="preserve">at </w:t>
      </w:r>
      <w:r w:rsidR="00502AF3">
        <w:rPr>
          <w:rFonts w:ascii="Arial" w:hAnsi="Arial"/>
        </w:rPr>
        <w:t>6/30/</w:t>
      </w:r>
      <w:r w:rsidR="0041602A">
        <w:rPr>
          <w:rFonts w:ascii="Arial" w:hAnsi="Arial"/>
        </w:rPr>
        <w:t>202</w:t>
      </w:r>
      <w:r w:rsidR="002F49D7">
        <w:rPr>
          <w:rFonts w:ascii="Arial" w:hAnsi="Arial"/>
        </w:rPr>
        <w:t>4</w:t>
      </w:r>
      <w:r>
        <w:rPr>
          <w:rFonts w:ascii="Arial" w:hAnsi="Arial"/>
        </w:rPr>
        <w:t>.</w:t>
      </w:r>
    </w:p>
    <w:p w14:paraId="1438F521" w14:textId="1B1F2A29" w:rsidR="004E46A3" w:rsidRDefault="004E46A3" w:rsidP="00621EAC">
      <w:pPr>
        <w:rPr>
          <w:rFonts w:ascii="Arial" w:hAnsi="Arial"/>
        </w:rPr>
      </w:pPr>
      <w:r>
        <w:rPr>
          <w:rFonts w:ascii="Arial" w:hAnsi="Arial"/>
        </w:rPr>
        <w:t xml:space="preserve">The Balance June 30, </w:t>
      </w:r>
      <w:proofErr w:type="gramStart"/>
      <w:r w:rsidR="00611984">
        <w:rPr>
          <w:rFonts w:ascii="Arial" w:hAnsi="Arial"/>
        </w:rPr>
        <w:t>20</w:t>
      </w:r>
      <w:r w:rsidR="003454A2">
        <w:rPr>
          <w:rFonts w:ascii="Arial" w:hAnsi="Arial"/>
        </w:rPr>
        <w:t>2</w:t>
      </w:r>
      <w:r w:rsidR="00E45D37">
        <w:rPr>
          <w:rFonts w:ascii="Arial" w:hAnsi="Arial"/>
        </w:rPr>
        <w:t>5</w:t>
      </w:r>
      <w:proofErr w:type="gramEnd"/>
      <w:r>
        <w:rPr>
          <w:rFonts w:ascii="Arial" w:hAnsi="Arial"/>
        </w:rPr>
        <w:t xml:space="preserve"> must agree with the balance</w:t>
      </w:r>
      <w:r w:rsidR="00502AF3">
        <w:rPr>
          <w:rFonts w:ascii="Arial" w:hAnsi="Arial"/>
        </w:rPr>
        <w:t xml:space="preserve"> in </w:t>
      </w:r>
      <w:r w:rsidR="0094767B">
        <w:rPr>
          <w:rFonts w:ascii="Arial" w:hAnsi="Arial"/>
        </w:rPr>
        <w:t xml:space="preserve">the </w:t>
      </w:r>
      <w:r w:rsidR="00502AF3">
        <w:rPr>
          <w:rFonts w:ascii="Arial" w:hAnsi="Arial"/>
        </w:rPr>
        <w:t>account per the 6/30/</w:t>
      </w:r>
      <w:r w:rsidR="0041602A">
        <w:rPr>
          <w:rFonts w:ascii="Arial" w:hAnsi="Arial"/>
        </w:rPr>
        <w:t>202</w:t>
      </w:r>
      <w:r w:rsidR="00B35711">
        <w:rPr>
          <w:rFonts w:ascii="Arial" w:hAnsi="Arial"/>
        </w:rPr>
        <w:t>5</w:t>
      </w:r>
      <w:r w:rsidR="00477E35">
        <w:rPr>
          <w:rFonts w:ascii="Arial" w:hAnsi="Arial"/>
        </w:rPr>
        <w:t xml:space="preserve"> NC</w:t>
      </w:r>
      <w:r w:rsidR="006A0133">
        <w:rPr>
          <w:rFonts w:ascii="Arial" w:hAnsi="Arial"/>
        </w:rPr>
        <w:t>FS</w:t>
      </w:r>
      <w:r>
        <w:rPr>
          <w:rFonts w:ascii="Arial" w:hAnsi="Arial"/>
        </w:rPr>
        <w:t xml:space="preserve"> </w:t>
      </w:r>
      <w:r w:rsidR="00477E35">
        <w:rPr>
          <w:rFonts w:ascii="Arial" w:hAnsi="Arial"/>
        </w:rPr>
        <w:t>ACFR</w:t>
      </w:r>
      <w:r>
        <w:rPr>
          <w:rFonts w:ascii="Arial" w:hAnsi="Arial"/>
        </w:rPr>
        <w:t xml:space="preserve"> 11G.</w:t>
      </w:r>
    </w:p>
    <w:p w14:paraId="6820B573" w14:textId="77777777" w:rsidR="00C00948" w:rsidRDefault="00C00948" w:rsidP="00173A42">
      <w:pPr>
        <w:rPr>
          <w:rFonts w:ascii="Arial" w:hAnsi="Arial"/>
        </w:rPr>
      </w:pPr>
      <w:r>
        <w:rPr>
          <w:rFonts w:ascii="Arial" w:hAnsi="Arial"/>
        </w:rPr>
        <w:t xml:space="preserve">The Prior Year </w:t>
      </w:r>
      <w:r w:rsidR="00C5525D">
        <w:rPr>
          <w:rFonts w:ascii="Arial" w:hAnsi="Arial"/>
        </w:rPr>
        <w:t>Unavailable</w:t>
      </w:r>
      <w:r>
        <w:rPr>
          <w:rFonts w:ascii="Arial" w:hAnsi="Arial"/>
        </w:rPr>
        <w:t xml:space="preserve"> Revenue Earned in Current Year plus the Write-Offs/Uncolle</w:t>
      </w:r>
      <w:r w:rsidR="00173A42">
        <w:rPr>
          <w:rFonts w:ascii="Arial" w:hAnsi="Arial"/>
        </w:rPr>
        <w:t>c</w:t>
      </w:r>
      <w:r>
        <w:rPr>
          <w:rFonts w:ascii="Arial" w:hAnsi="Arial"/>
        </w:rPr>
        <w:t>tible Amount columns cannot exceed the Beginning Balance July 1, column.</w:t>
      </w:r>
    </w:p>
    <w:p w14:paraId="49DDDB09" w14:textId="77777777" w:rsidR="006772EF" w:rsidRDefault="006772EF">
      <w:pPr>
        <w:pStyle w:val="BodyText3"/>
        <w:spacing w:line="240" w:lineRule="auto"/>
        <w:rPr>
          <w:rFonts w:ascii="Arial" w:hAnsi="Arial"/>
          <w:caps w:val="0"/>
        </w:rPr>
      </w:pPr>
    </w:p>
    <w:p w14:paraId="5F28D570" w14:textId="77777777" w:rsidR="004E46A3" w:rsidRPr="003A0302" w:rsidRDefault="00606001">
      <w:pPr>
        <w:pStyle w:val="BodyText3"/>
        <w:spacing w:line="240" w:lineRule="auto"/>
        <w:rPr>
          <w:rFonts w:ascii="Arial" w:hAnsi="Arial"/>
          <w:caps w:val="0"/>
          <w:smallCaps/>
        </w:rPr>
      </w:pPr>
      <w:r w:rsidRPr="003A0302">
        <w:rPr>
          <w:rFonts w:ascii="Arial" w:hAnsi="Arial"/>
          <w:caps w:val="0"/>
          <w:smallCaps/>
        </w:rPr>
        <w:t>Analytical Review</w:t>
      </w:r>
      <w:r w:rsidR="00F310FB" w:rsidRPr="003A0302">
        <w:rPr>
          <w:rFonts w:ascii="Arial" w:hAnsi="Arial"/>
          <w:caps w:val="0"/>
          <w:smallCaps/>
        </w:rPr>
        <w:t xml:space="preserve"> </w:t>
      </w:r>
      <w:r w:rsidR="004E46A3" w:rsidRPr="003A0302">
        <w:rPr>
          <w:rFonts w:ascii="Arial" w:hAnsi="Arial"/>
          <w:caps w:val="0"/>
          <w:smallCaps/>
        </w:rPr>
        <w:t>(625)</w:t>
      </w:r>
    </w:p>
    <w:p w14:paraId="3C911C7A" w14:textId="77777777" w:rsidR="004E46A3" w:rsidRDefault="004E46A3">
      <w:pPr>
        <w:pStyle w:val="BodyText3"/>
        <w:spacing w:line="240" w:lineRule="auto"/>
        <w:rPr>
          <w:rFonts w:ascii="Arial" w:hAnsi="Arial"/>
          <w:b w:val="0"/>
        </w:rPr>
      </w:pPr>
    </w:p>
    <w:p w14:paraId="25FE58A7" w14:textId="77777777" w:rsidR="004E46A3" w:rsidRDefault="004E46A3">
      <w:pPr>
        <w:rPr>
          <w:rFonts w:ascii="Arial" w:hAnsi="Arial"/>
        </w:rPr>
      </w:pPr>
      <w:r>
        <w:rPr>
          <w:rFonts w:ascii="Arial" w:hAnsi="Arial"/>
          <w:b/>
        </w:rPr>
        <w:t>SIGNIFICANT INCREASES/DECREASES</w:t>
      </w:r>
      <w:r>
        <w:rPr>
          <w:rFonts w:ascii="Arial" w:hAnsi="Arial"/>
        </w:rPr>
        <w:t xml:space="preserve"> — For the purpose of this worksheet a significant change in a report caption will be defined to be changes (increases/decreases) as follows: </w:t>
      </w:r>
    </w:p>
    <w:p w14:paraId="299BBA76" w14:textId="77777777" w:rsidR="004E46A3" w:rsidRDefault="004E46A3">
      <w:pPr>
        <w:rPr>
          <w:rFonts w:ascii="Arial" w:hAnsi="Arial"/>
        </w:rPr>
      </w:pPr>
    </w:p>
    <w:p w14:paraId="564D18C2" w14:textId="36A5C24E" w:rsidR="004E46A3" w:rsidRDefault="004E46A3" w:rsidP="00606001">
      <w:pPr>
        <w:ind w:left="2160" w:hanging="2160"/>
        <w:rPr>
          <w:rFonts w:ascii="Arial" w:hAnsi="Arial"/>
        </w:rPr>
      </w:pPr>
      <w:r>
        <w:rPr>
          <w:rFonts w:ascii="Arial" w:hAnsi="Arial"/>
          <w:b/>
        </w:rPr>
        <w:t>Primary Government</w:t>
      </w:r>
      <w:r>
        <w:rPr>
          <w:rFonts w:ascii="Arial" w:hAnsi="Arial"/>
        </w:rPr>
        <w:tab/>
        <w:t xml:space="preserve">Greater than or equal to </w:t>
      </w:r>
      <w:r>
        <w:rPr>
          <w:rFonts w:ascii="Arial" w:hAnsi="Arial"/>
          <w:b/>
        </w:rPr>
        <w:t>15%</w:t>
      </w:r>
      <w:r>
        <w:rPr>
          <w:rFonts w:ascii="Arial" w:hAnsi="Arial"/>
        </w:rPr>
        <w:t xml:space="preserve">, </w:t>
      </w:r>
      <w:r>
        <w:rPr>
          <w:rFonts w:ascii="Arial" w:hAnsi="Arial"/>
          <w:b/>
        </w:rPr>
        <w:t>AND</w:t>
      </w:r>
      <w:r>
        <w:rPr>
          <w:rFonts w:ascii="Arial" w:hAnsi="Arial"/>
        </w:rPr>
        <w:t xml:space="preserve"> a threshold </w:t>
      </w:r>
      <w:proofErr w:type="gramStart"/>
      <w:r>
        <w:rPr>
          <w:rFonts w:ascii="Arial" w:hAnsi="Arial"/>
          <w:u w:val="single"/>
        </w:rPr>
        <w:t>amount</w:t>
      </w:r>
      <w:proofErr w:type="gramEnd"/>
      <w:r>
        <w:rPr>
          <w:rFonts w:ascii="Arial" w:hAnsi="Arial"/>
        </w:rPr>
        <w:t xml:space="preserve"> greater than or equal to </w:t>
      </w:r>
      <w:r>
        <w:rPr>
          <w:rFonts w:ascii="Arial" w:hAnsi="Arial"/>
          <w:b/>
        </w:rPr>
        <w:t>$1</w:t>
      </w:r>
      <w:r w:rsidR="009639EA">
        <w:rPr>
          <w:rFonts w:ascii="Arial" w:hAnsi="Arial"/>
          <w:b/>
        </w:rPr>
        <w:t>5</w:t>
      </w:r>
      <w:r>
        <w:rPr>
          <w:rFonts w:ascii="Arial" w:hAnsi="Arial"/>
          <w:b/>
        </w:rPr>
        <w:t>,000,000</w:t>
      </w:r>
      <w:r w:rsidR="00F310FB">
        <w:rPr>
          <w:rFonts w:ascii="Arial" w:hAnsi="Arial"/>
          <w:b/>
        </w:rPr>
        <w:t xml:space="preserve"> </w:t>
      </w:r>
    </w:p>
    <w:p w14:paraId="66BBA6C9" w14:textId="77777777" w:rsidR="004E46A3" w:rsidRDefault="004E46A3">
      <w:pPr>
        <w:rPr>
          <w:rFonts w:ascii="Arial" w:hAnsi="Arial"/>
        </w:rPr>
      </w:pPr>
    </w:p>
    <w:p w14:paraId="47FA64D4" w14:textId="086C397B" w:rsidR="004E46A3" w:rsidRPr="0021326F" w:rsidRDefault="004E46A3">
      <w:pPr>
        <w:rPr>
          <w:rFonts w:ascii="Arial" w:hAnsi="Arial"/>
          <w:b/>
        </w:rPr>
      </w:pPr>
      <w:r>
        <w:rPr>
          <w:rFonts w:ascii="Arial" w:hAnsi="Arial"/>
          <w:b/>
        </w:rPr>
        <w:t>Universities</w:t>
      </w:r>
      <w:r w:rsidR="00060FFF">
        <w:rPr>
          <w:rFonts w:ascii="Arial" w:hAnsi="Arial"/>
          <w:b/>
        </w:rPr>
        <w:t xml:space="preserve"> and</w:t>
      </w:r>
      <w:r>
        <w:rPr>
          <w:rFonts w:ascii="Arial" w:hAnsi="Arial"/>
        </w:rPr>
        <w:tab/>
        <w:t xml:space="preserve">Greater than or equal to </w:t>
      </w:r>
      <w:r>
        <w:rPr>
          <w:rFonts w:ascii="Arial" w:hAnsi="Arial"/>
          <w:b/>
        </w:rPr>
        <w:t>15%</w:t>
      </w:r>
      <w:r>
        <w:rPr>
          <w:rFonts w:ascii="Arial" w:hAnsi="Arial"/>
        </w:rPr>
        <w:t xml:space="preserve">, </w:t>
      </w:r>
      <w:r>
        <w:rPr>
          <w:rFonts w:ascii="Arial" w:hAnsi="Arial"/>
          <w:b/>
        </w:rPr>
        <w:t>AND</w:t>
      </w:r>
      <w:r>
        <w:rPr>
          <w:rFonts w:ascii="Arial" w:hAnsi="Arial"/>
        </w:rPr>
        <w:t xml:space="preserve"> a threshold </w:t>
      </w:r>
      <w:r>
        <w:rPr>
          <w:rFonts w:ascii="Arial" w:hAnsi="Arial"/>
          <w:u w:val="single"/>
        </w:rPr>
        <w:t>amount</w:t>
      </w:r>
      <w:r>
        <w:rPr>
          <w:rFonts w:ascii="Arial" w:hAnsi="Arial"/>
        </w:rPr>
        <w:t xml:space="preserve"> greater than or equal </w:t>
      </w:r>
      <w:r w:rsidR="00060FFF" w:rsidRPr="00060FFF">
        <w:rPr>
          <w:rFonts w:ascii="Arial" w:hAnsi="Arial"/>
          <w:b/>
        </w:rPr>
        <w:t>Major C</w:t>
      </w:r>
      <w:r w:rsidR="00CF0966">
        <w:rPr>
          <w:rFonts w:ascii="Arial" w:hAnsi="Arial"/>
          <w:b/>
        </w:rPr>
        <w:t>omponent</w:t>
      </w:r>
      <w:r w:rsidR="00CF0966">
        <w:rPr>
          <w:rFonts w:ascii="Arial" w:hAnsi="Arial"/>
        </w:rPr>
        <w:tab/>
      </w:r>
      <w:r w:rsidR="00CA27CB">
        <w:rPr>
          <w:rFonts w:ascii="Arial" w:hAnsi="Arial"/>
        </w:rPr>
        <w:t xml:space="preserve">to </w:t>
      </w:r>
      <w:r>
        <w:rPr>
          <w:rFonts w:ascii="Arial" w:hAnsi="Arial"/>
          <w:b/>
        </w:rPr>
        <w:t>$</w:t>
      </w:r>
      <w:r w:rsidR="009639EA">
        <w:rPr>
          <w:rFonts w:ascii="Arial" w:hAnsi="Arial"/>
          <w:b/>
        </w:rPr>
        <w:t>10</w:t>
      </w:r>
      <w:r>
        <w:rPr>
          <w:rFonts w:ascii="Arial" w:hAnsi="Arial"/>
          <w:b/>
        </w:rPr>
        <w:t>,000,000</w:t>
      </w:r>
      <w:r w:rsidR="00F310FB" w:rsidRPr="0021326F">
        <w:rPr>
          <w:rFonts w:ascii="Arial" w:hAnsi="Arial"/>
        </w:rPr>
        <w:t xml:space="preserve"> </w:t>
      </w:r>
      <w:r w:rsidR="0021326F" w:rsidRPr="0021326F">
        <w:rPr>
          <w:rFonts w:ascii="Arial" w:hAnsi="Arial"/>
        </w:rPr>
        <w:t xml:space="preserve">(except </w:t>
      </w:r>
      <w:r w:rsidR="0021326F">
        <w:rPr>
          <w:rFonts w:ascii="Arial" w:hAnsi="Arial"/>
          <w:b/>
        </w:rPr>
        <w:t>$3</w:t>
      </w:r>
      <w:r w:rsidR="00EA504F">
        <w:rPr>
          <w:rFonts w:ascii="Arial" w:hAnsi="Arial"/>
          <w:b/>
        </w:rPr>
        <w:t xml:space="preserve">0,000,000 </w:t>
      </w:r>
      <w:r w:rsidR="00EA504F" w:rsidRPr="0021326F">
        <w:rPr>
          <w:rFonts w:ascii="Arial" w:hAnsi="Arial"/>
        </w:rPr>
        <w:t xml:space="preserve">for </w:t>
      </w:r>
      <w:r w:rsidR="0021326F" w:rsidRPr="0021326F">
        <w:rPr>
          <w:rFonts w:ascii="Arial" w:hAnsi="Arial"/>
        </w:rPr>
        <w:t>North Carolina State University</w:t>
      </w:r>
      <w:r w:rsidR="0021326F">
        <w:rPr>
          <w:rFonts w:ascii="Arial" w:hAnsi="Arial"/>
        </w:rPr>
        <w:t xml:space="preserve">, and </w:t>
      </w:r>
    </w:p>
    <w:p w14:paraId="6BFB03DC" w14:textId="77777777" w:rsidR="004E46A3" w:rsidRDefault="00CF0966">
      <w:pPr>
        <w:rPr>
          <w:rFonts w:ascii="Arial" w:hAnsi="Arial"/>
          <w:b/>
        </w:rPr>
      </w:pPr>
      <w:r w:rsidRPr="00CF0966">
        <w:rPr>
          <w:rFonts w:ascii="Arial" w:hAnsi="Arial"/>
          <w:b/>
        </w:rPr>
        <w:t>Units</w:t>
      </w:r>
      <w:r w:rsidR="00EA504F">
        <w:rPr>
          <w:rFonts w:ascii="Arial" w:hAnsi="Arial"/>
          <w:b/>
        </w:rPr>
        <w:tab/>
      </w:r>
      <w:r w:rsidR="00EA504F">
        <w:rPr>
          <w:rFonts w:ascii="Arial" w:hAnsi="Arial"/>
          <w:b/>
        </w:rPr>
        <w:tab/>
      </w:r>
      <w:r w:rsidR="0021326F">
        <w:rPr>
          <w:rFonts w:ascii="Arial" w:hAnsi="Arial"/>
          <w:b/>
        </w:rPr>
        <w:tab/>
        <w:t>$40,000,000</w:t>
      </w:r>
      <w:r w:rsidR="0021326F">
        <w:rPr>
          <w:rFonts w:ascii="Arial" w:hAnsi="Arial"/>
        </w:rPr>
        <w:t xml:space="preserve"> for UNC Chapel Hill and the UNC Health Care System.)</w:t>
      </w:r>
      <w:r w:rsidR="00EA504F">
        <w:rPr>
          <w:rFonts w:ascii="Arial" w:hAnsi="Arial"/>
          <w:b/>
        </w:rPr>
        <w:tab/>
      </w:r>
    </w:p>
    <w:p w14:paraId="17D00FE0" w14:textId="77777777" w:rsidR="00BB4E5F" w:rsidRDefault="00BB4E5F">
      <w:pPr>
        <w:rPr>
          <w:rFonts w:ascii="Arial" w:hAnsi="Arial"/>
          <w:b/>
        </w:rPr>
      </w:pPr>
    </w:p>
    <w:p w14:paraId="23FDCF15" w14:textId="77777777" w:rsidR="00D45799" w:rsidRDefault="00D45799">
      <w:pPr>
        <w:rPr>
          <w:rFonts w:ascii="Arial" w:hAnsi="Arial"/>
          <w:b/>
        </w:rPr>
      </w:pPr>
    </w:p>
    <w:p w14:paraId="5AFE0FC6" w14:textId="5544D96F" w:rsidR="00060FFF" w:rsidRDefault="00060FFF">
      <w:pPr>
        <w:rPr>
          <w:rFonts w:ascii="Arial" w:hAnsi="Arial"/>
        </w:rPr>
      </w:pPr>
      <w:r>
        <w:rPr>
          <w:rFonts w:ascii="Arial" w:hAnsi="Arial"/>
          <w:b/>
        </w:rPr>
        <w:t>Colleges and</w:t>
      </w:r>
      <w:r>
        <w:rPr>
          <w:rFonts w:ascii="Arial" w:hAnsi="Arial"/>
          <w:b/>
        </w:rPr>
        <w:tab/>
      </w:r>
      <w:r>
        <w:rPr>
          <w:rFonts w:ascii="Arial" w:hAnsi="Arial"/>
        </w:rPr>
        <w:tab/>
        <w:t xml:space="preserve">Greater than or equal to </w:t>
      </w:r>
      <w:r>
        <w:rPr>
          <w:rFonts w:ascii="Arial" w:hAnsi="Arial"/>
          <w:b/>
        </w:rPr>
        <w:t>15%</w:t>
      </w:r>
      <w:r>
        <w:rPr>
          <w:rFonts w:ascii="Arial" w:hAnsi="Arial"/>
        </w:rPr>
        <w:t xml:space="preserve">, </w:t>
      </w:r>
      <w:r>
        <w:rPr>
          <w:rFonts w:ascii="Arial" w:hAnsi="Arial"/>
          <w:b/>
        </w:rPr>
        <w:t>AND</w:t>
      </w:r>
      <w:r>
        <w:rPr>
          <w:rFonts w:ascii="Arial" w:hAnsi="Arial"/>
        </w:rPr>
        <w:t xml:space="preserve"> a threshold </w:t>
      </w:r>
      <w:r>
        <w:rPr>
          <w:rFonts w:ascii="Arial" w:hAnsi="Arial"/>
          <w:u w:val="single"/>
        </w:rPr>
        <w:t>amount</w:t>
      </w:r>
      <w:r>
        <w:rPr>
          <w:rFonts w:ascii="Arial" w:hAnsi="Arial"/>
        </w:rPr>
        <w:t xml:space="preserve"> greater than or </w:t>
      </w:r>
      <w:r w:rsidR="00CF0966">
        <w:rPr>
          <w:rFonts w:ascii="Arial" w:hAnsi="Arial"/>
        </w:rPr>
        <w:t xml:space="preserve">equal </w:t>
      </w:r>
    </w:p>
    <w:p w14:paraId="5FB01324" w14:textId="4D565E5A" w:rsidR="004E46A3" w:rsidRPr="00CF0966" w:rsidRDefault="00CF0966">
      <w:pPr>
        <w:rPr>
          <w:rFonts w:ascii="Arial" w:hAnsi="Arial"/>
        </w:rPr>
      </w:pPr>
      <w:r>
        <w:rPr>
          <w:rFonts w:ascii="Arial" w:hAnsi="Arial"/>
          <w:b/>
        </w:rPr>
        <w:t xml:space="preserve">Nonmajor </w:t>
      </w:r>
      <w:r w:rsidR="00060FFF">
        <w:rPr>
          <w:rFonts w:ascii="Arial" w:hAnsi="Arial"/>
        </w:rPr>
        <w:tab/>
      </w:r>
      <w:r>
        <w:rPr>
          <w:rFonts w:ascii="Arial" w:hAnsi="Arial"/>
        </w:rPr>
        <w:tab/>
      </w:r>
      <w:r w:rsidR="00584BA3">
        <w:rPr>
          <w:rFonts w:ascii="Arial" w:hAnsi="Arial"/>
        </w:rPr>
        <w:t xml:space="preserve">to </w:t>
      </w:r>
      <w:r w:rsidR="00060FFF">
        <w:rPr>
          <w:rFonts w:ascii="Arial" w:hAnsi="Arial"/>
          <w:b/>
        </w:rPr>
        <w:t>$</w:t>
      </w:r>
      <w:r w:rsidR="009639EA">
        <w:rPr>
          <w:rFonts w:ascii="Arial" w:hAnsi="Arial"/>
          <w:b/>
        </w:rPr>
        <w:t>2</w:t>
      </w:r>
      <w:r w:rsidR="00060FFF">
        <w:rPr>
          <w:rFonts w:ascii="Arial" w:hAnsi="Arial"/>
          <w:b/>
        </w:rPr>
        <w:t>,000,000</w:t>
      </w:r>
      <w:r>
        <w:rPr>
          <w:rFonts w:ascii="Arial" w:hAnsi="Arial"/>
          <w:b/>
        </w:rPr>
        <w:t xml:space="preserve"> </w:t>
      </w:r>
      <w:r>
        <w:rPr>
          <w:rFonts w:ascii="Arial" w:hAnsi="Arial"/>
        </w:rPr>
        <w:t>(For colleges, this is built into the Coll</w:t>
      </w:r>
      <w:r w:rsidR="00584BA3">
        <w:rPr>
          <w:rFonts w:ascii="Arial" w:hAnsi="Arial"/>
        </w:rPr>
        <w:t xml:space="preserve">ege </w:t>
      </w:r>
      <w:r>
        <w:rPr>
          <w:rFonts w:ascii="Arial" w:hAnsi="Arial"/>
        </w:rPr>
        <w:t>proforma spreadsheet)</w:t>
      </w:r>
    </w:p>
    <w:p w14:paraId="00DB41B8" w14:textId="77777777" w:rsidR="00060FFF" w:rsidRDefault="00CF0966">
      <w:pPr>
        <w:rPr>
          <w:rFonts w:ascii="Arial" w:hAnsi="Arial"/>
          <w:b/>
        </w:rPr>
      </w:pPr>
      <w:r>
        <w:rPr>
          <w:rFonts w:ascii="Arial" w:hAnsi="Arial"/>
          <w:b/>
        </w:rPr>
        <w:t>Component Units</w:t>
      </w:r>
      <w:r w:rsidR="00F310FB">
        <w:rPr>
          <w:rFonts w:ascii="Arial" w:hAnsi="Arial"/>
          <w:b/>
        </w:rPr>
        <w:tab/>
      </w:r>
    </w:p>
    <w:p w14:paraId="7674EA0F" w14:textId="77777777" w:rsidR="00606001" w:rsidRDefault="00606001">
      <w:pPr>
        <w:rPr>
          <w:rFonts w:ascii="Arial" w:hAnsi="Arial"/>
          <w:b/>
        </w:rPr>
      </w:pPr>
    </w:p>
    <w:p w14:paraId="7E4446D2" w14:textId="77777777" w:rsidR="00606001" w:rsidRDefault="00606001">
      <w:pPr>
        <w:rPr>
          <w:rFonts w:ascii="Arial" w:hAnsi="Arial"/>
          <w:b/>
        </w:rPr>
      </w:pPr>
    </w:p>
    <w:p w14:paraId="1C5DD7F5" w14:textId="77777777" w:rsidR="004E46A3" w:rsidRDefault="004E46A3">
      <w:pPr>
        <w:rPr>
          <w:rFonts w:ascii="Arial" w:hAnsi="Arial"/>
        </w:rPr>
      </w:pPr>
      <w:r>
        <w:rPr>
          <w:rFonts w:ascii="Arial" w:hAnsi="Arial"/>
          <w:b/>
        </w:rPr>
        <w:t>Primary (general) government agencies</w:t>
      </w:r>
      <w:r>
        <w:rPr>
          <w:rFonts w:ascii="Arial" w:hAnsi="Arial"/>
        </w:rPr>
        <w:t xml:space="preserve"> should analyze SIGNIFICANT CHANGES from the prior year at the financial statement report caption level, for each </w:t>
      </w:r>
      <w:r>
        <w:rPr>
          <w:rFonts w:ascii="Arial" w:hAnsi="Arial"/>
          <w:b/>
          <w:u w:val="single"/>
        </w:rPr>
        <w:t xml:space="preserve">GASB fund </w:t>
      </w:r>
      <w:r w:rsidR="00D45799">
        <w:rPr>
          <w:rFonts w:ascii="Arial" w:hAnsi="Arial"/>
          <w:b/>
          <w:u w:val="single"/>
        </w:rPr>
        <w:t>number</w:t>
      </w:r>
      <w:r w:rsidR="00AC33DF">
        <w:rPr>
          <w:rFonts w:ascii="Arial" w:hAnsi="Arial"/>
          <w:b/>
          <w:u w:val="single"/>
        </w:rPr>
        <w:t xml:space="preserve"> (</w:t>
      </w:r>
      <w:r>
        <w:rPr>
          <w:rFonts w:ascii="Arial" w:hAnsi="Arial"/>
          <w:b/>
          <w:u w:val="single"/>
        </w:rPr>
        <w:t>General Fund</w:t>
      </w:r>
      <w:r w:rsidR="00AC33DF">
        <w:rPr>
          <w:rFonts w:ascii="Arial" w:hAnsi="Arial"/>
          <w:b/>
          <w:u w:val="single"/>
        </w:rPr>
        <w:t xml:space="preserve"> - 11XX level)</w:t>
      </w:r>
      <w:r>
        <w:rPr>
          <w:rFonts w:ascii="Arial" w:hAnsi="Arial"/>
          <w:b/>
          <w:u w:val="single"/>
        </w:rPr>
        <w:t>, Special Revenue Funds, Capital Project Funds,</w:t>
      </w:r>
      <w:r w:rsidR="00950329">
        <w:rPr>
          <w:rFonts w:ascii="Arial" w:hAnsi="Arial"/>
          <w:b/>
          <w:u w:val="single"/>
        </w:rPr>
        <w:t xml:space="preserve"> </w:t>
      </w:r>
      <w:r>
        <w:rPr>
          <w:rFonts w:ascii="Arial" w:hAnsi="Arial"/>
          <w:b/>
          <w:u w:val="single"/>
        </w:rPr>
        <w:t>Enterprise Funds</w:t>
      </w:r>
      <w:r w:rsidR="00EB0B31">
        <w:rPr>
          <w:rFonts w:ascii="Arial" w:hAnsi="Arial"/>
          <w:b/>
          <w:u w:val="single"/>
        </w:rPr>
        <w:t>, Internal Service Funds, and Fiduciary Funds</w:t>
      </w:r>
      <w:r>
        <w:rPr>
          <w:rFonts w:ascii="Arial" w:hAnsi="Arial"/>
        </w:rPr>
        <w:t>.</w:t>
      </w:r>
    </w:p>
    <w:p w14:paraId="57329A9C" w14:textId="77777777" w:rsidR="004E46A3" w:rsidRDefault="004E46A3">
      <w:pPr>
        <w:rPr>
          <w:rFonts w:ascii="Arial" w:hAnsi="Arial"/>
        </w:rPr>
      </w:pPr>
    </w:p>
    <w:p w14:paraId="4B622CE3" w14:textId="77777777" w:rsidR="004E46A3" w:rsidRDefault="004E46A3">
      <w:pPr>
        <w:rPr>
          <w:rFonts w:ascii="Arial" w:hAnsi="Arial"/>
        </w:rPr>
      </w:pPr>
      <w:r>
        <w:rPr>
          <w:rFonts w:ascii="Arial" w:hAnsi="Arial"/>
          <w:b/>
        </w:rPr>
        <w:t>University and community college</w:t>
      </w:r>
      <w:r>
        <w:rPr>
          <w:rFonts w:ascii="Arial" w:hAnsi="Arial"/>
        </w:rPr>
        <w:t xml:space="preserve"> analysis of report captions should be done </w:t>
      </w:r>
      <w:r>
        <w:rPr>
          <w:rFonts w:ascii="Arial" w:hAnsi="Arial"/>
          <w:b/>
          <w:i/>
          <w:u w:val="single"/>
        </w:rPr>
        <w:t>only once</w:t>
      </w:r>
      <w:r>
        <w:rPr>
          <w:rFonts w:ascii="Arial" w:hAnsi="Arial"/>
        </w:rPr>
        <w:t xml:space="preserve"> at the “</w:t>
      </w:r>
      <w:r>
        <w:rPr>
          <w:rFonts w:ascii="Arial" w:hAnsi="Arial"/>
          <w:b/>
          <w:i/>
        </w:rPr>
        <w:t>total funds</w:t>
      </w:r>
      <w:r>
        <w:rPr>
          <w:rFonts w:ascii="Arial" w:hAnsi="Arial"/>
        </w:rPr>
        <w:t xml:space="preserve">” level.  Universities and community colleges report in one column as a business-type activity. </w:t>
      </w:r>
    </w:p>
    <w:p w14:paraId="1060CE9E" w14:textId="77777777" w:rsidR="00275495" w:rsidRDefault="00275495">
      <w:pPr>
        <w:rPr>
          <w:rFonts w:ascii="Arial" w:hAnsi="Arial"/>
        </w:rPr>
      </w:pPr>
    </w:p>
    <w:p w14:paraId="6CE3482E" w14:textId="0DF90C84" w:rsidR="00EB5789" w:rsidRPr="00EB5789" w:rsidRDefault="00275495">
      <w:pPr>
        <w:rPr>
          <w:rFonts w:ascii="Arial" w:hAnsi="Arial"/>
          <w:b/>
          <w:u w:val="single"/>
        </w:rPr>
      </w:pPr>
      <w:r w:rsidRPr="00EB5789">
        <w:rPr>
          <w:rFonts w:ascii="Arial" w:hAnsi="Arial"/>
          <w:b/>
          <w:u w:val="single"/>
        </w:rPr>
        <w:t>Instructions</w:t>
      </w:r>
      <w:r w:rsidR="00606001" w:rsidRPr="00EB5789">
        <w:rPr>
          <w:rFonts w:ascii="Arial" w:hAnsi="Arial"/>
          <w:b/>
          <w:u w:val="single"/>
        </w:rPr>
        <w:t xml:space="preserve"> for </w:t>
      </w:r>
      <w:r w:rsidR="52FE6C8B" w:rsidRPr="27196449">
        <w:rPr>
          <w:rFonts w:ascii="Arial" w:hAnsi="Arial"/>
          <w:b/>
          <w:bCs/>
          <w:u w:val="single"/>
        </w:rPr>
        <w:t>NC</w:t>
      </w:r>
      <w:r w:rsidR="0E9FB72A" w:rsidRPr="27196449">
        <w:rPr>
          <w:rFonts w:ascii="Arial" w:hAnsi="Arial"/>
          <w:b/>
          <w:bCs/>
          <w:u w:val="single"/>
        </w:rPr>
        <w:t>F</w:t>
      </w:r>
      <w:r w:rsidR="52FE6C8B" w:rsidRPr="27196449">
        <w:rPr>
          <w:rFonts w:ascii="Arial" w:hAnsi="Arial"/>
          <w:b/>
          <w:bCs/>
          <w:u w:val="single"/>
        </w:rPr>
        <w:t>S</w:t>
      </w:r>
      <w:r w:rsidR="00606001" w:rsidRPr="00EB5789">
        <w:rPr>
          <w:rFonts w:ascii="Arial" w:hAnsi="Arial"/>
          <w:b/>
          <w:u w:val="single"/>
        </w:rPr>
        <w:t xml:space="preserve"> agencies using </w:t>
      </w:r>
      <w:r w:rsidR="7F65792B" w:rsidRPr="27196449">
        <w:rPr>
          <w:rFonts w:ascii="Arial" w:hAnsi="Arial"/>
          <w:b/>
          <w:bCs/>
          <w:u w:val="single"/>
        </w:rPr>
        <w:t>NCF</w:t>
      </w:r>
      <w:r w:rsidR="52FE6C8B" w:rsidRPr="27196449">
        <w:rPr>
          <w:rFonts w:ascii="Arial" w:hAnsi="Arial"/>
          <w:b/>
          <w:bCs/>
          <w:u w:val="single"/>
        </w:rPr>
        <w:t>S</w:t>
      </w:r>
      <w:r w:rsidR="00606001" w:rsidRPr="00EB5789">
        <w:rPr>
          <w:rFonts w:ascii="Arial" w:hAnsi="Arial"/>
          <w:b/>
          <w:u w:val="single"/>
        </w:rPr>
        <w:t xml:space="preserve"> Comp Reports:</w:t>
      </w:r>
      <w:r w:rsidRPr="00EB5789">
        <w:rPr>
          <w:rFonts w:ascii="Arial" w:hAnsi="Arial"/>
          <w:b/>
          <w:u w:val="single"/>
        </w:rPr>
        <w:t xml:space="preserve"> </w:t>
      </w:r>
      <w:r w:rsidR="00BF069B" w:rsidRPr="00EB5789">
        <w:rPr>
          <w:rFonts w:ascii="Arial" w:hAnsi="Arial"/>
          <w:b/>
          <w:u w:val="single"/>
        </w:rPr>
        <w:t xml:space="preserve">   </w:t>
      </w:r>
    </w:p>
    <w:p w14:paraId="6655032C" w14:textId="77777777" w:rsidR="00275495" w:rsidRPr="00EB5789" w:rsidRDefault="00EB5789">
      <w:pPr>
        <w:rPr>
          <w:rFonts w:ascii="Arial" w:hAnsi="Arial"/>
        </w:rPr>
      </w:pPr>
      <w:r>
        <w:rPr>
          <w:rFonts w:ascii="Arial" w:hAnsi="Arial"/>
        </w:rPr>
        <w:t xml:space="preserve">Open </w:t>
      </w:r>
      <w:proofErr w:type="gramStart"/>
      <w:r>
        <w:rPr>
          <w:rFonts w:ascii="Arial" w:hAnsi="Arial"/>
        </w:rPr>
        <w:t>the Comp</w:t>
      </w:r>
      <w:proofErr w:type="gramEnd"/>
      <w:r>
        <w:rPr>
          <w:rFonts w:ascii="Arial" w:hAnsi="Arial"/>
        </w:rPr>
        <w:t xml:space="preserve"> 11G/</w:t>
      </w:r>
      <w:r w:rsidR="00275495" w:rsidRPr="00EB5789">
        <w:rPr>
          <w:rFonts w:ascii="Arial" w:hAnsi="Arial"/>
        </w:rPr>
        <w:t>11P</w:t>
      </w:r>
      <w:r>
        <w:rPr>
          <w:rFonts w:ascii="Arial" w:hAnsi="Arial"/>
        </w:rPr>
        <w:t>/</w:t>
      </w:r>
      <w:r w:rsidR="0083680F" w:rsidRPr="00EB5789">
        <w:rPr>
          <w:rFonts w:ascii="Arial" w:hAnsi="Arial"/>
        </w:rPr>
        <w:t>11F and Comp 52G/53P/54F</w:t>
      </w:r>
      <w:r>
        <w:rPr>
          <w:rFonts w:ascii="Arial" w:hAnsi="Arial"/>
        </w:rPr>
        <w:t>.</w:t>
      </w:r>
    </w:p>
    <w:p w14:paraId="66678F91" w14:textId="46015A20" w:rsidR="004E46A3" w:rsidRDefault="00EB5789">
      <w:pPr>
        <w:rPr>
          <w:rFonts w:ascii="Arial" w:hAnsi="Arial"/>
        </w:rPr>
      </w:pPr>
      <w:r>
        <w:rPr>
          <w:rFonts w:ascii="Arial" w:hAnsi="Arial"/>
        </w:rPr>
        <w:t xml:space="preserve">Double click on </w:t>
      </w:r>
      <w:r w:rsidR="2D6D287D" w:rsidRPr="27196449">
        <w:rPr>
          <w:rFonts w:ascii="Arial" w:hAnsi="Arial"/>
        </w:rPr>
        <w:t>GASB columns</w:t>
      </w:r>
      <w:r w:rsidR="00275495" w:rsidRPr="00EB5789">
        <w:rPr>
          <w:rFonts w:ascii="Arial" w:hAnsi="Arial"/>
        </w:rPr>
        <w:t xml:space="preserve"> which expands the </w:t>
      </w:r>
      <w:r w:rsidR="651CC25E" w:rsidRPr="27196449">
        <w:rPr>
          <w:rFonts w:ascii="Arial" w:hAnsi="Arial"/>
        </w:rPr>
        <w:t>columns</w:t>
      </w:r>
      <w:r w:rsidR="00275495" w:rsidRPr="00EB5789">
        <w:rPr>
          <w:rFonts w:ascii="Arial" w:hAnsi="Arial"/>
        </w:rPr>
        <w:t xml:space="preserve"> to the GASB </w:t>
      </w:r>
      <w:r w:rsidR="00AE74DB" w:rsidRPr="00EB5789">
        <w:rPr>
          <w:rFonts w:ascii="Arial" w:hAnsi="Arial"/>
        </w:rPr>
        <w:t xml:space="preserve">number level. </w:t>
      </w:r>
      <w:r w:rsidR="00275495" w:rsidRPr="00EB5789">
        <w:rPr>
          <w:rFonts w:ascii="Arial" w:hAnsi="Arial"/>
        </w:rPr>
        <w:t xml:space="preserve">At the GASB </w:t>
      </w:r>
      <w:r w:rsidR="00AE74DB" w:rsidRPr="00EB5789">
        <w:rPr>
          <w:rFonts w:ascii="Arial" w:hAnsi="Arial"/>
        </w:rPr>
        <w:t>number</w:t>
      </w:r>
      <w:r w:rsidR="00275495" w:rsidRPr="00EB5789">
        <w:rPr>
          <w:rFonts w:ascii="Arial" w:hAnsi="Arial"/>
        </w:rPr>
        <w:t xml:space="preserve"> level apply significant level threshold to statement </w:t>
      </w:r>
      <w:proofErr w:type="gramStart"/>
      <w:r w:rsidR="00275495" w:rsidRPr="00EB5789">
        <w:rPr>
          <w:rFonts w:ascii="Arial" w:hAnsi="Arial"/>
        </w:rPr>
        <w:t>caption</w:t>
      </w:r>
      <w:proofErr w:type="gramEnd"/>
      <w:r w:rsidR="00275495" w:rsidRPr="00EB5789">
        <w:rPr>
          <w:rFonts w:ascii="Arial" w:hAnsi="Arial"/>
        </w:rPr>
        <w:t xml:space="preserve"> and provide explanation for </w:t>
      </w:r>
      <w:r w:rsidR="00275495" w:rsidRPr="00EB5789">
        <w:rPr>
          <w:rFonts w:ascii="Arial" w:hAnsi="Arial"/>
        </w:rPr>
        <w:lastRenderedPageBreak/>
        <w:t>differences. At this point it may help to drill down to account level and explain the account which contributes to the difference.</w:t>
      </w:r>
      <w:r w:rsidR="00275495">
        <w:rPr>
          <w:rFonts w:ascii="Arial" w:hAnsi="Arial"/>
        </w:rPr>
        <w:t xml:space="preserve">  </w:t>
      </w:r>
    </w:p>
    <w:p w14:paraId="2DFB8CB0" w14:textId="77777777" w:rsidR="009639EA" w:rsidRDefault="009639EA">
      <w:pPr>
        <w:rPr>
          <w:rFonts w:ascii="Arial" w:hAnsi="Arial"/>
        </w:rPr>
      </w:pPr>
    </w:p>
    <w:p w14:paraId="4D45DFB2" w14:textId="3A508E2B" w:rsidR="00E672A8" w:rsidRDefault="004E46A3">
      <w:pPr>
        <w:rPr>
          <w:rFonts w:ascii="Arial" w:hAnsi="Arial"/>
        </w:rPr>
      </w:pPr>
      <w:r>
        <w:rPr>
          <w:rFonts w:ascii="Arial" w:hAnsi="Arial"/>
        </w:rPr>
        <w:t xml:space="preserve">All significant changes to assets, liabilities, revenues and other financing sources, and </w:t>
      </w:r>
      <w:proofErr w:type="gramStart"/>
      <w:r>
        <w:rPr>
          <w:rFonts w:ascii="Arial" w:hAnsi="Arial"/>
        </w:rPr>
        <w:t>expenditures</w:t>
      </w:r>
      <w:proofErr w:type="gramEnd"/>
      <w:r>
        <w:rPr>
          <w:rFonts w:ascii="Arial" w:hAnsi="Arial"/>
        </w:rPr>
        <w:t xml:space="preserve">/expenses and other uses, should be analyzed.  </w:t>
      </w:r>
      <w:r w:rsidR="00AC33DF" w:rsidRPr="00AC33DF">
        <w:rPr>
          <w:rFonts w:ascii="Arial" w:hAnsi="Arial"/>
          <w:b/>
          <w:i/>
        </w:rPr>
        <w:t xml:space="preserve">Variances for </w:t>
      </w:r>
      <w:r w:rsidR="00BF069B" w:rsidRPr="00AC33DF">
        <w:rPr>
          <w:rFonts w:ascii="Arial" w:hAnsi="Arial"/>
          <w:b/>
          <w:i/>
        </w:rPr>
        <w:t xml:space="preserve">changes in fund balance, restatements or </w:t>
      </w:r>
      <w:r w:rsidR="00B33DA2">
        <w:rPr>
          <w:rFonts w:ascii="Arial" w:hAnsi="Arial"/>
          <w:b/>
          <w:i/>
        </w:rPr>
        <w:t>net position</w:t>
      </w:r>
      <w:r w:rsidR="00AC33DF" w:rsidRPr="00AC33DF">
        <w:rPr>
          <w:rFonts w:ascii="Arial" w:hAnsi="Arial"/>
          <w:b/>
          <w:i/>
        </w:rPr>
        <w:t xml:space="preserve"> do not require explanation</w:t>
      </w:r>
      <w:r w:rsidR="00AC33DF" w:rsidRPr="00AC33DF">
        <w:rPr>
          <w:rFonts w:ascii="Arial" w:hAnsi="Arial"/>
        </w:rPr>
        <w:t>.</w:t>
      </w:r>
      <w:r w:rsidR="00BF069B">
        <w:rPr>
          <w:rFonts w:ascii="Arial" w:hAnsi="Arial"/>
        </w:rPr>
        <w:t xml:space="preserve"> </w:t>
      </w:r>
      <w:r>
        <w:rPr>
          <w:rFonts w:ascii="Arial" w:hAnsi="Arial"/>
        </w:rPr>
        <w:t xml:space="preserve">Indicate the </w:t>
      </w:r>
      <w:r>
        <w:rPr>
          <w:rFonts w:ascii="Arial" w:hAnsi="Arial"/>
          <w:b/>
          <w:i/>
          <w:u w:val="single"/>
        </w:rPr>
        <w:t>REASON</w:t>
      </w:r>
      <w:r>
        <w:rPr>
          <w:rFonts w:ascii="Arial" w:hAnsi="Arial"/>
        </w:rPr>
        <w:t xml:space="preserve"> for the change in the description field.  Attach additional information as necessary.</w:t>
      </w:r>
    </w:p>
    <w:p w14:paraId="77F61602" w14:textId="77777777" w:rsidR="00E672A8" w:rsidRDefault="00E672A8">
      <w:pPr>
        <w:rPr>
          <w:rFonts w:ascii="Arial" w:hAnsi="Arial"/>
          <w:b/>
        </w:rPr>
      </w:pPr>
    </w:p>
    <w:p w14:paraId="0BD4F1F9" w14:textId="0CA38370" w:rsidR="004E46A3" w:rsidRDefault="004E46A3">
      <w:pPr>
        <w:rPr>
          <w:rFonts w:ascii="Arial" w:hAnsi="Arial"/>
        </w:rPr>
      </w:pPr>
      <w:r>
        <w:rPr>
          <w:rFonts w:ascii="Arial" w:hAnsi="Arial"/>
          <w:b/>
        </w:rPr>
        <w:t>Specific reasons</w:t>
      </w:r>
      <w:r>
        <w:rPr>
          <w:rFonts w:ascii="Arial" w:hAnsi="Arial"/>
        </w:rPr>
        <w:t xml:space="preserve"> for significant fluctuations should be described in detail in terms of:</w:t>
      </w:r>
    </w:p>
    <w:p w14:paraId="03539F2C" w14:textId="77777777" w:rsidR="004E46A3" w:rsidRDefault="004E46A3">
      <w:pPr>
        <w:rPr>
          <w:rFonts w:ascii="Arial" w:hAnsi="Arial"/>
          <w:b/>
        </w:rPr>
      </w:pPr>
      <w:r>
        <w:rPr>
          <w:rFonts w:ascii="Arial" w:hAnsi="Arial"/>
          <w:b/>
        </w:rPr>
        <w:tab/>
        <w:t xml:space="preserve">economic </w:t>
      </w:r>
      <w:proofErr w:type="gramStart"/>
      <w:r>
        <w:rPr>
          <w:rFonts w:ascii="Arial" w:hAnsi="Arial"/>
          <w:b/>
        </w:rPr>
        <w:t>changes;</w:t>
      </w:r>
      <w:proofErr w:type="gramEnd"/>
    </w:p>
    <w:p w14:paraId="3A0E19ED" w14:textId="77777777" w:rsidR="004E46A3" w:rsidRDefault="004E46A3">
      <w:pPr>
        <w:rPr>
          <w:rFonts w:ascii="Arial" w:hAnsi="Arial"/>
          <w:b/>
        </w:rPr>
      </w:pPr>
      <w:r>
        <w:rPr>
          <w:rFonts w:ascii="Arial" w:hAnsi="Arial"/>
          <w:b/>
        </w:rPr>
        <w:tab/>
        <w:t xml:space="preserve">legal influences or </w:t>
      </w:r>
      <w:proofErr w:type="gramStart"/>
      <w:r>
        <w:rPr>
          <w:rFonts w:ascii="Arial" w:hAnsi="Arial"/>
          <w:b/>
        </w:rPr>
        <w:t>changes;</w:t>
      </w:r>
      <w:proofErr w:type="gramEnd"/>
    </w:p>
    <w:p w14:paraId="4A0562C1" w14:textId="77777777" w:rsidR="004E46A3" w:rsidRDefault="004E46A3">
      <w:pPr>
        <w:rPr>
          <w:rFonts w:ascii="Arial" w:hAnsi="Arial"/>
          <w:b/>
        </w:rPr>
      </w:pPr>
      <w:r>
        <w:rPr>
          <w:rFonts w:ascii="Arial" w:hAnsi="Arial"/>
          <w:b/>
        </w:rPr>
        <w:tab/>
        <w:t xml:space="preserve">policy </w:t>
      </w:r>
      <w:proofErr w:type="gramStart"/>
      <w:r>
        <w:rPr>
          <w:rFonts w:ascii="Arial" w:hAnsi="Arial"/>
          <w:b/>
        </w:rPr>
        <w:t>changes;</w:t>
      </w:r>
      <w:proofErr w:type="gramEnd"/>
    </w:p>
    <w:p w14:paraId="4BAA65CC" w14:textId="77777777" w:rsidR="004E46A3" w:rsidRDefault="004E46A3" w:rsidP="78780778">
      <w:pPr>
        <w:rPr>
          <w:rFonts w:ascii="Arial" w:hAnsi="Arial"/>
          <w:b/>
          <w:bCs/>
        </w:rPr>
      </w:pPr>
      <w:r>
        <w:rPr>
          <w:rFonts w:ascii="Arial" w:hAnsi="Arial"/>
          <w:b/>
        </w:rPr>
        <w:tab/>
      </w:r>
      <w:r w:rsidRPr="78780778">
        <w:rPr>
          <w:rFonts w:ascii="Arial" w:hAnsi="Arial"/>
          <w:b/>
          <w:bCs/>
        </w:rPr>
        <w:t xml:space="preserve">legislative </w:t>
      </w:r>
      <w:bookmarkStart w:id="9" w:name="_Int_P82dnJsj"/>
      <w:proofErr w:type="gramStart"/>
      <w:r w:rsidRPr="78780778">
        <w:rPr>
          <w:rFonts w:ascii="Arial" w:hAnsi="Arial"/>
          <w:b/>
          <w:bCs/>
        </w:rPr>
        <w:t>changes;</w:t>
      </w:r>
      <w:bookmarkEnd w:id="9"/>
      <w:proofErr w:type="gramEnd"/>
    </w:p>
    <w:p w14:paraId="63101B39" w14:textId="77777777" w:rsidR="004E46A3" w:rsidRDefault="004E46A3" w:rsidP="78780778">
      <w:pPr>
        <w:rPr>
          <w:rFonts w:ascii="Arial" w:hAnsi="Arial"/>
          <w:b/>
          <w:bCs/>
        </w:rPr>
      </w:pPr>
      <w:r>
        <w:rPr>
          <w:rFonts w:ascii="Arial" w:hAnsi="Arial"/>
          <w:b/>
        </w:rPr>
        <w:tab/>
      </w:r>
      <w:r w:rsidRPr="78780778">
        <w:rPr>
          <w:rFonts w:ascii="Arial" w:hAnsi="Arial"/>
          <w:b/>
          <w:bCs/>
        </w:rPr>
        <w:t xml:space="preserve">demographic shifts or </w:t>
      </w:r>
      <w:bookmarkStart w:id="10" w:name="_Int_j9yxxQmn"/>
      <w:proofErr w:type="gramStart"/>
      <w:r w:rsidRPr="78780778">
        <w:rPr>
          <w:rFonts w:ascii="Arial" w:hAnsi="Arial"/>
          <w:b/>
          <w:bCs/>
        </w:rPr>
        <w:t>trends;</w:t>
      </w:r>
      <w:bookmarkEnd w:id="10"/>
      <w:proofErr w:type="gramEnd"/>
    </w:p>
    <w:p w14:paraId="7BF14AEC" w14:textId="77777777" w:rsidR="004E46A3" w:rsidRDefault="004E46A3">
      <w:pPr>
        <w:rPr>
          <w:rFonts w:ascii="Arial" w:hAnsi="Arial"/>
          <w:b/>
        </w:rPr>
      </w:pPr>
      <w:r>
        <w:rPr>
          <w:rFonts w:ascii="Arial" w:hAnsi="Arial"/>
          <w:b/>
        </w:rPr>
        <w:tab/>
        <w:t>environmental impacts (including weather); and</w:t>
      </w:r>
    </w:p>
    <w:p w14:paraId="72D42B2E" w14:textId="77777777" w:rsidR="004E46A3" w:rsidRDefault="004E46A3">
      <w:pPr>
        <w:rPr>
          <w:rFonts w:ascii="Arial" w:hAnsi="Arial"/>
          <w:b/>
        </w:rPr>
      </w:pPr>
      <w:r>
        <w:rPr>
          <w:rFonts w:ascii="Arial" w:hAnsi="Arial"/>
          <w:b/>
        </w:rPr>
        <w:tab/>
        <w:t>administrative, management, or accounting changes</w:t>
      </w:r>
    </w:p>
    <w:p w14:paraId="50896FD5" w14:textId="77777777" w:rsidR="004E46A3" w:rsidRDefault="004E46A3">
      <w:pPr>
        <w:rPr>
          <w:rFonts w:ascii="Arial" w:hAnsi="Arial"/>
          <w:b/>
        </w:rPr>
      </w:pPr>
    </w:p>
    <w:p w14:paraId="43941C6A" w14:textId="77777777" w:rsidR="004E46A3" w:rsidRDefault="004E46A3">
      <w:pPr>
        <w:rPr>
          <w:rFonts w:ascii="Arial" w:hAnsi="Arial"/>
        </w:rPr>
      </w:pPr>
      <w:r>
        <w:rPr>
          <w:rFonts w:ascii="Arial" w:hAnsi="Arial"/>
        </w:rPr>
        <w:t xml:space="preserve">Your </w:t>
      </w:r>
      <w:r>
        <w:rPr>
          <w:rFonts w:ascii="Arial" w:hAnsi="Arial"/>
          <w:b/>
          <w:i/>
          <w:u w:val="single"/>
        </w:rPr>
        <w:t>REASONS</w:t>
      </w:r>
      <w:r>
        <w:rPr>
          <w:rFonts w:ascii="Arial" w:hAnsi="Arial"/>
        </w:rPr>
        <w:t xml:space="preserve"> should present </w:t>
      </w:r>
      <w:r>
        <w:rPr>
          <w:rFonts w:ascii="Arial" w:hAnsi="Arial"/>
          <w:b/>
          <w:i/>
          <w:u w:val="single"/>
        </w:rPr>
        <w:t>ADDITIONAL INFORMATION</w:t>
      </w:r>
      <w:r>
        <w:rPr>
          <w:rFonts w:ascii="Arial" w:hAnsi="Arial"/>
        </w:rPr>
        <w:t xml:space="preserve"> that would otherwise not be available, or </w:t>
      </w:r>
      <w:proofErr w:type="gramStart"/>
      <w:r>
        <w:rPr>
          <w:rFonts w:ascii="Arial" w:hAnsi="Arial"/>
        </w:rPr>
        <w:t>obvious</w:t>
      </w:r>
      <w:proofErr w:type="gramEnd"/>
      <w:r>
        <w:rPr>
          <w:rFonts w:ascii="Arial" w:hAnsi="Arial"/>
        </w:rPr>
        <w:t xml:space="preserve">, to the local, state, and national </w:t>
      </w:r>
      <w:r>
        <w:rPr>
          <w:rFonts w:ascii="Arial" w:hAnsi="Arial"/>
          <w:b/>
          <w:i/>
          <w:u w:val="single"/>
        </w:rPr>
        <w:t>USERS</w:t>
      </w:r>
      <w:r>
        <w:rPr>
          <w:rFonts w:ascii="Arial" w:hAnsi="Arial"/>
        </w:rPr>
        <w:t xml:space="preserve"> of your financial information.  </w:t>
      </w:r>
    </w:p>
    <w:p w14:paraId="2412E6C6" w14:textId="77777777" w:rsidR="004E46A3" w:rsidRDefault="004E46A3">
      <w:pPr>
        <w:rPr>
          <w:rFonts w:ascii="Arial" w:hAnsi="Arial"/>
        </w:rPr>
      </w:pPr>
    </w:p>
    <w:p w14:paraId="042C12B9" w14:textId="77777777" w:rsidR="004E46A3" w:rsidRDefault="004E46A3" w:rsidP="00606001">
      <w:pPr>
        <w:rPr>
          <w:rFonts w:ascii="Arial" w:hAnsi="Arial"/>
        </w:rPr>
      </w:pPr>
      <w:r>
        <w:rPr>
          <w:rFonts w:ascii="Arial" w:hAnsi="Arial"/>
        </w:rPr>
        <w:t xml:space="preserve">The </w:t>
      </w:r>
      <w:r w:rsidR="00606001">
        <w:rPr>
          <w:rFonts w:ascii="Arial" w:hAnsi="Arial"/>
        </w:rPr>
        <w:t>Analytical Review</w:t>
      </w:r>
      <w:r>
        <w:rPr>
          <w:rFonts w:ascii="Arial" w:hAnsi="Arial"/>
        </w:rPr>
        <w:t xml:space="preserve"> worksheet should disclose </w:t>
      </w:r>
      <w:r>
        <w:rPr>
          <w:rFonts w:ascii="Arial" w:hAnsi="Arial"/>
          <w:b/>
          <w:i/>
        </w:rPr>
        <w:t>unusual and significant</w:t>
      </w:r>
      <w:r>
        <w:rPr>
          <w:rFonts w:ascii="Arial" w:hAnsi="Arial"/>
        </w:rPr>
        <w:t xml:space="preserve"> items.</w:t>
      </w:r>
    </w:p>
    <w:p w14:paraId="29D7000D" w14:textId="77777777" w:rsidR="004E46A3" w:rsidRDefault="004E46A3">
      <w:pPr>
        <w:rPr>
          <w:rFonts w:ascii="Arial" w:hAnsi="Arial"/>
        </w:rPr>
      </w:pPr>
    </w:p>
    <w:p w14:paraId="3829B915" w14:textId="77777777" w:rsidR="004E46A3" w:rsidRDefault="00426964">
      <w:pPr>
        <w:rPr>
          <w:rFonts w:ascii="Arial" w:hAnsi="Arial"/>
        </w:rPr>
      </w:pPr>
      <w:r w:rsidRPr="00426964">
        <w:rPr>
          <w:rFonts w:ascii="Arial" w:hAnsi="Arial"/>
        </w:rPr>
        <w:t>Each</w:t>
      </w:r>
      <w:r w:rsidR="004E46A3" w:rsidRPr="00426964">
        <w:rPr>
          <w:rFonts w:ascii="Arial" w:hAnsi="Arial"/>
        </w:rPr>
        <w:t xml:space="preserve"> </w:t>
      </w:r>
      <w:r w:rsidR="004E46A3">
        <w:rPr>
          <w:rFonts w:ascii="Arial" w:hAnsi="Arial"/>
        </w:rPr>
        <w:t>agency or institution that issues separate audited financial statements will need to include M</w:t>
      </w:r>
      <w:r w:rsidR="009138CF">
        <w:rPr>
          <w:rFonts w:ascii="Arial" w:hAnsi="Arial"/>
        </w:rPr>
        <w:t xml:space="preserve">anagement Discussion </w:t>
      </w:r>
      <w:r w:rsidR="004E46A3">
        <w:rPr>
          <w:rFonts w:ascii="Arial" w:hAnsi="Arial"/>
        </w:rPr>
        <w:t>&amp;</w:t>
      </w:r>
      <w:r w:rsidR="009138CF">
        <w:rPr>
          <w:rFonts w:ascii="Arial" w:hAnsi="Arial"/>
        </w:rPr>
        <w:t xml:space="preserve"> </w:t>
      </w:r>
      <w:r w:rsidR="004E46A3">
        <w:rPr>
          <w:rFonts w:ascii="Arial" w:hAnsi="Arial"/>
        </w:rPr>
        <w:t>A</w:t>
      </w:r>
      <w:r w:rsidR="009138CF">
        <w:rPr>
          <w:rFonts w:ascii="Arial" w:hAnsi="Arial"/>
        </w:rPr>
        <w:t>nalysis</w:t>
      </w:r>
      <w:r w:rsidR="004E46A3">
        <w:rPr>
          <w:rFonts w:ascii="Arial" w:hAnsi="Arial"/>
        </w:rPr>
        <w:t xml:space="preserve"> narrative, with charts and tables, in their separately issued financial statements.</w:t>
      </w:r>
    </w:p>
    <w:p w14:paraId="33AE239C" w14:textId="77777777" w:rsidR="006D586B" w:rsidRDefault="006D586B">
      <w:pPr>
        <w:pStyle w:val="BodyText3"/>
        <w:spacing w:line="240" w:lineRule="auto"/>
        <w:rPr>
          <w:rFonts w:ascii="Arial" w:hAnsi="Arial"/>
          <w:caps w:val="0"/>
        </w:rPr>
      </w:pPr>
    </w:p>
    <w:p w14:paraId="3A98EE5D" w14:textId="77777777" w:rsidR="004E46A3" w:rsidRDefault="004E46A3">
      <w:pPr>
        <w:pStyle w:val="Heading3"/>
        <w:spacing w:line="240" w:lineRule="auto"/>
        <w:jc w:val="left"/>
        <w:rPr>
          <w:rFonts w:ascii="Arial" w:hAnsi="Arial"/>
          <w:u w:val="single"/>
        </w:rPr>
      </w:pPr>
      <w:r>
        <w:rPr>
          <w:rFonts w:ascii="Arial" w:hAnsi="Arial"/>
          <w:u w:val="single"/>
        </w:rPr>
        <w:t>Segment Worksheet (</w:t>
      </w:r>
      <w:r>
        <w:rPr>
          <w:rFonts w:ascii="Arial" w:hAnsi="Arial"/>
          <w:smallCaps w:val="0"/>
          <w:u w:val="single"/>
        </w:rPr>
        <w:t>635</w:t>
      </w:r>
      <w:r>
        <w:rPr>
          <w:rFonts w:ascii="Arial" w:hAnsi="Arial"/>
          <w:u w:val="single"/>
        </w:rPr>
        <w:t>)</w:t>
      </w:r>
    </w:p>
    <w:p w14:paraId="17FD45B2" w14:textId="77777777" w:rsidR="004E46A3" w:rsidRDefault="004E46A3"/>
    <w:p w14:paraId="6A678452" w14:textId="77777777" w:rsidR="004E46A3" w:rsidRDefault="004E46A3">
      <w:pPr>
        <w:rPr>
          <w:rFonts w:ascii="Arial" w:hAnsi="Arial"/>
        </w:rPr>
      </w:pPr>
      <w:r>
        <w:rPr>
          <w:rFonts w:ascii="Arial" w:hAnsi="Arial"/>
        </w:rPr>
        <w:t>Governments that report enterprise funds or that use enterprise fund accounting and reporting standards are required to disclose certain information about each “reportable segment” in the notes to the financial statements.</w:t>
      </w:r>
    </w:p>
    <w:p w14:paraId="204C22A5" w14:textId="77777777" w:rsidR="004E46A3" w:rsidRDefault="004E46A3">
      <w:pPr>
        <w:rPr>
          <w:rFonts w:ascii="Arial" w:hAnsi="Arial"/>
        </w:rPr>
      </w:pPr>
    </w:p>
    <w:p w14:paraId="23D9DA27" w14:textId="77777777" w:rsidR="004E46A3" w:rsidRDefault="004E46A3">
      <w:pPr>
        <w:rPr>
          <w:rFonts w:ascii="Arial" w:hAnsi="Arial"/>
          <w:b/>
          <w:u w:val="single"/>
        </w:rPr>
      </w:pPr>
      <w:r>
        <w:rPr>
          <w:rFonts w:ascii="Arial" w:hAnsi="Arial"/>
          <w:b/>
          <w:u w:val="single"/>
        </w:rPr>
        <w:t>Reportable Segments</w:t>
      </w:r>
    </w:p>
    <w:p w14:paraId="7792C535" w14:textId="77777777" w:rsidR="004E46A3" w:rsidRDefault="004E46A3">
      <w:pPr>
        <w:rPr>
          <w:rFonts w:ascii="Arial" w:hAnsi="Arial"/>
        </w:rPr>
      </w:pPr>
      <w:r>
        <w:rPr>
          <w:rFonts w:ascii="Arial" w:hAnsi="Arial"/>
        </w:rPr>
        <w:t xml:space="preserve">For purposes of this disclosure, a “reportable segment” is an </w:t>
      </w:r>
      <w:r>
        <w:rPr>
          <w:rFonts w:ascii="Arial" w:hAnsi="Arial"/>
          <w:b/>
          <w:i/>
          <w:u w:val="single"/>
        </w:rPr>
        <w:t>identifiable</w:t>
      </w:r>
      <w:r>
        <w:rPr>
          <w:rFonts w:ascii="Arial" w:hAnsi="Arial"/>
        </w:rPr>
        <w:t xml:space="preserve"> activity (or grouping of activities) that:</w:t>
      </w:r>
    </w:p>
    <w:p w14:paraId="28515C2D" w14:textId="05437E66" w:rsidR="004E46A3" w:rsidRDefault="004E46A3">
      <w:pPr>
        <w:rPr>
          <w:rFonts w:ascii="Arial" w:hAnsi="Arial"/>
        </w:rPr>
      </w:pPr>
      <w:r>
        <w:rPr>
          <w:rFonts w:ascii="Arial" w:hAnsi="Arial"/>
        </w:rPr>
        <w:t xml:space="preserve">Is reported as or </w:t>
      </w:r>
      <w:r w:rsidR="008C002E">
        <w:rPr>
          <w:rFonts w:ascii="Arial" w:hAnsi="Arial"/>
        </w:rPr>
        <w:t>within an enterprise fund or another stand-</w:t>
      </w:r>
      <w:r>
        <w:rPr>
          <w:rFonts w:ascii="Arial" w:hAnsi="Arial"/>
        </w:rPr>
        <w:t xml:space="preserve">alone entity for which one or more bonds or other debt instruments (such as certificates of participation) are outstanding, </w:t>
      </w:r>
      <w:r w:rsidR="00251925">
        <w:rPr>
          <w:rFonts w:ascii="Arial" w:hAnsi="Arial"/>
        </w:rPr>
        <w:t>h</w:t>
      </w:r>
      <w:r>
        <w:rPr>
          <w:rFonts w:ascii="Arial" w:hAnsi="Arial"/>
        </w:rPr>
        <w:t>as a revenue stream pledged in support of that debt, and</w:t>
      </w:r>
      <w:r w:rsidR="00251925">
        <w:rPr>
          <w:rFonts w:ascii="Arial" w:hAnsi="Arial"/>
        </w:rPr>
        <w:t xml:space="preserve"> i</w:t>
      </w:r>
      <w:r>
        <w:rPr>
          <w:rFonts w:ascii="Arial" w:hAnsi="Arial"/>
        </w:rPr>
        <w:t xml:space="preserve">s subject to reporting requirements by an </w:t>
      </w:r>
      <w:r>
        <w:rPr>
          <w:rFonts w:ascii="Arial" w:hAnsi="Arial"/>
          <w:b/>
          <w:i/>
          <w:u w:val="single"/>
        </w:rPr>
        <w:t>external</w:t>
      </w:r>
      <w:r>
        <w:rPr>
          <w:rFonts w:ascii="Arial" w:hAnsi="Arial"/>
        </w:rPr>
        <w:t xml:space="preserve"> party requiring separate accounting for the activity’s </w:t>
      </w:r>
      <w:r>
        <w:rPr>
          <w:rFonts w:ascii="Arial" w:hAnsi="Arial"/>
          <w:b/>
          <w:u w:val="single"/>
        </w:rPr>
        <w:t>assets, liabilities, revenues, expenses, gains and losses</w:t>
      </w:r>
      <w:r>
        <w:rPr>
          <w:rFonts w:ascii="Arial" w:hAnsi="Arial"/>
        </w:rPr>
        <w:t xml:space="preserve"> (e.g., such as those commonly set forth in bond indentures).</w:t>
      </w:r>
    </w:p>
    <w:p w14:paraId="5449E790" w14:textId="77777777" w:rsidR="004E46A3" w:rsidRDefault="004E46A3">
      <w:pPr>
        <w:rPr>
          <w:rFonts w:ascii="Arial" w:hAnsi="Arial"/>
        </w:rPr>
      </w:pPr>
    </w:p>
    <w:p w14:paraId="692CEA79" w14:textId="01FA4668" w:rsidR="00546995" w:rsidRDefault="004E46A3">
      <w:pPr>
        <w:rPr>
          <w:rFonts w:ascii="Arial" w:hAnsi="Arial"/>
        </w:rPr>
      </w:pPr>
      <w:r>
        <w:rPr>
          <w:rFonts w:ascii="Arial" w:hAnsi="Arial"/>
        </w:rPr>
        <w:t xml:space="preserve">An activity within an enterprise fund is identifiable if it has a specific revenue stream pledged in support for the debt and has related expenses, gains and losses, assets, and liabilities that are required to be </w:t>
      </w:r>
    </w:p>
    <w:p w14:paraId="16952315" w14:textId="46F9688E" w:rsidR="00A419A4" w:rsidRPr="00A360C0" w:rsidRDefault="004E46A3">
      <w:pPr>
        <w:rPr>
          <w:rFonts w:ascii="Arial" w:hAnsi="Arial"/>
        </w:rPr>
      </w:pPr>
      <w:r>
        <w:rPr>
          <w:rFonts w:ascii="Arial" w:hAnsi="Arial"/>
        </w:rPr>
        <w:t xml:space="preserve">accounted for separately. Segment disclosures are not required for an activity </w:t>
      </w:r>
      <w:proofErr w:type="gramStart"/>
      <w:r>
        <w:rPr>
          <w:rFonts w:ascii="Arial" w:hAnsi="Arial"/>
        </w:rPr>
        <w:t>whose</w:t>
      </w:r>
      <w:proofErr w:type="gramEnd"/>
      <w:r>
        <w:rPr>
          <w:rFonts w:ascii="Arial" w:hAnsi="Arial"/>
        </w:rPr>
        <w:t xml:space="preserve"> only outstanding debt is conduit debt for which the government has no obligation beyond the resources provided by related leases or loans. In addition, segment reporting is not required when an individual fund </w:t>
      </w:r>
      <w:proofErr w:type="gramStart"/>
      <w:r>
        <w:rPr>
          <w:rFonts w:ascii="Arial" w:hAnsi="Arial"/>
        </w:rPr>
        <w:t>both is</w:t>
      </w:r>
      <w:proofErr w:type="gramEnd"/>
      <w:r>
        <w:rPr>
          <w:rFonts w:ascii="Arial" w:hAnsi="Arial"/>
        </w:rPr>
        <w:t xml:space="preserve"> a segment and is reported as a major fund. </w:t>
      </w:r>
    </w:p>
    <w:p w14:paraId="726FAAED" w14:textId="77777777" w:rsidR="00A419A4" w:rsidRDefault="00A419A4">
      <w:pPr>
        <w:rPr>
          <w:rFonts w:ascii="Arial" w:hAnsi="Arial"/>
          <w:b/>
          <w:u w:val="single"/>
        </w:rPr>
      </w:pPr>
    </w:p>
    <w:p w14:paraId="40FD3F2F" w14:textId="77777777" w:rsidR="004E46A3" w:rsidRDefault="004E46A3">
      <w:pPr>
        <w:rPr>
          <w:rFonts w:ascii="Arial" w:hAnsi="Arial"/>
          <w:b/>
          <w:u w:val="single"/>
        </w:rPr>
      </w:pPr>
      <w:r>
        <w:rPr>
          <w:rFonts w:ascii="Arial" w:hAnsi="Arial"/>
          <w:b/>
          <w:u w:val="single"/>
        </w:rPr>
        <w:t>Disclosure</w:t>
      </w:r>
    </w:p>
    <w:p w14:paraId="4E6DB5EE" w14:textId="77777777" w:rsidR="004E46A3" w:rsidRDefault="004E46A3">
      <w:pPr>
        <w:rPr>
          <w:rFonts w:ascii="Arial" w:hAnsi="Arial"/>
        </w:rPr>
      </w:pPr>
      <w:r>
        <w:rPr>
          <w:rFonts w:ascii="Arial" w:hAnsi="Arial"/>
        </w:rPr>
        <w:t>Disclosure requirements for each segment should be met by identifying the types of goods and services provided and by presenting condensed financial information in the notes.</w:t>
      </w:r>
    </w:p>
    <w:p w14:paraId="61E94CB7" w14:textId="77777777" w:rsidR="004E46A3" w:rsidRDefault="004E46A3">
      <w:pPr>
        <w:rPr>
          <w:rFonts w:ascii="Arial" w:hAnsi="Arial"/>
        </w:rPr>
      </w:pPr>
    </w:p>
    <w:p w14:paraId="4E30FFD7" w14:textId="77777777" w:rsidR="004E46A3" w:rsidRDefault="004E46A3">
      <w:pPr>
        <w:rPr>
          <w:rFonts w:ascii="Arial" w:hAnsi="Arial"/>
          <w:b/>
          <w:u w:val="single"/>
        </w:rPr>
      </w:pPr>
      <w:r>
        <w:rPr>
          <w:rFonts w:ascii="Arial" w:hAnsi="Arial"/>
          <w:b/>
          <w:u w:val="single"/>
        </w:rPr>
        <w:t>Questions from Implementation Guides</w:t>
      </w:r>
    </w:p>
    <w:p w14:paraId="48D3C282" w14:textId="77777777" w:rsidR="004E46A3" w:rsidRDefault="004E46A3">
      <w:pPr>
        <w:rPr>
          <w:rFonts w:ascii="Arial" w:hAnsi="Arial"/>
          <w:b/>
          <w:i/>
        </w:rPr>
      </w:pPr>
      <w:r>
        <w:rPr>
          <w:rFonts w:ascii="Arial" w:hAnsi="Arial"/>
          <w:b/>
          <w:i/>
        </w:rPr>
        <w:t>Q&amp;A Statement No. 34</w:t>
      </w:r>
    </w:p>
    <w:p w14:paraId="7ED9C22D" w14:textId="77777777" w:rsidR="004E46A3" w:rsidRDefault="004E46A3">
      <w:pPr>
        <w:rPr>
          <w:rFonts w:ascii="Arial" w:hAnsi="Arial"/>
          <w:b/>
          <w:i/>
        </w:rPr>
      </w:pPr>
      <w:r>
        <w:rPr>
          <w:rFonts w:ascii="Arial" w:hAnsi="Arial"/>
          <w:b/>
          <w:i/>
        </w:rPr>
        <w:t>Question 236</w:t>
      </w:r>
    </w:p>
    <w:p w14:paraId="02FB2719" w14:textId="77777777" w:rsidR="004E46A3" w:rsidRDefault="004E46A3">
      <w:pPr>
        <w:rPr>
          <w:rFonts w:ascii="Arial" w:hAnsi="Arial"/>
          <w:b/>
          <w:i/>
        </w:rPr>
      </w:pPr>
    </w:p>
    <w:p w14:paraId="7817892D" w14:textId="77777777" w:rsidR="004E46A3" w:rsidRDefault="004E46A3">
      <w:pPr>
        <w:rPr>
          <w:rFonts w:ascii="Arial" w:hAnsi="Arial"/>
          <w:b/>
        </w:rPr>
      </w:pPr>
      <w:r>
        <w:rPr>
          <w:rFonts w:ascii="Arial" w:hAnsi="Arial"/>
          <w:b/>
        </w:rPr>
        <w:lastRenderedPageBreak/>
        <w:t xml:space="preserve">Q—A public university has fifteen residence halls on its campus, ten of which have individual bonded debt secured by the room fee revenues of the specific dorm.  Is the “identifiable activity” the entire group of fifteen residence halls, or only those with revenue bonds outstanding?  </w:t>
      </w:r>
    </w:p>
    <w:p w14:paraId="39F66BCD" w14:textId="77777777" w:rsidR="004E46A3" w:rsidRDefault="004E46A3">
      <w:pPr>
        <w:rPr>
          <w:rFonts w:ascii="Arial" w:hAnsi="Arial"/>
        </w:rPr>
      </w:pPr>
    </w:p>
    <w:p w14:paraId="2EF952B2" w14:textId="77777777" w:rsidR="00E672A8" w:rsidRDefault="004E46A3">
      <w:pPr>
        <w:rPr>
          <w:rFonts w:ascii="Arial" w:hAnsi="Arial"/>
        </w:rPr>
      </w:pPr>
      <w:r>
        <w:rPr>
          <w:rFonts w:ascii="Arial" w:hAnsi="Arial"/>
        </w:rPr>
        <w:t xml:space="preserve">A—Paragraph 122 requires governments to disclose information about “segments” of enterprise funds in the notes to financial statements.  One essential characteristic of a segment is that it is an “identifiable </w:t>
      </w:r>
    </w:p>
    <w:p w14:paraId="780FD201" w14:textId="77777777" w:rsidR="00E672A8" w:rsidRDefault="00E672A8">
      <w:pPr>
        <w:rPr>
          <w:rFonts w:ascii="Arial" w:hAnsi="Arial"/>
        </w:rPr>
      </w:pPr>
    </w:p>
    <w:p w14:paraId="3D9269F8" w14:textId="2DE65321" w:rsidR="004E46A3" w:rsidRDefault="004E46A3">
      <w:pPr>
        <w:rPr>
          <w:rFonts w:ascii="Arial" w:hAnsi="Arial"/>
          <w:u w:val="single"/>
        </w:rPr>
      </w:pPr>
      <w:r>
        <w:rPr>
          <w:rFonts w:ascii="Arial" w:hAnsi="Arial"/>
        </w:rPr>
        <w:t xml:space="preserve">activity.”  The “identifiable activity” is the source of the pledged revenues.  If the bond indenture specified that the pledged revenues were the fees from all the dorms, the dorm system would be the identifiable activity.  In this case, however, because each dorm’s debt is secured by its own revenues, segment disclosures should be made for each of the ten residence halls that meet all the criteria in paragraph 122.  The primary purpose of the disclosure required by paragraph 122 is to provide information about “coverage” of pledged revenues, not to disaggregate </w:t>
      </w:r>
      <w:proofErr w:type="gramStart"/>
      <w:r>
        <w:rPr>
          <w:rFonts w:ascii="Arial" w:hAnsi="Arial"/>
        </w:rPr>
        <w:t>all of</w:t>
      </w:r>
      <w:proofErr w:type="gramEnd"/>
      <w:r>
        <w:rPr>
          <w:rFonts w:ascii="Arial" w:hAnsi="Arial"/>
        </w:rPr>
        <w:t xml:space="preserve"> the operating results of enterprise funds.</w:t>
      </w:r>
    </w:p>
    <w:p w14:paraId="34F82869" w14:textId="77777777" w:rsidR="004E46A3" w:rsidRDefault="004E46A3">
      <w:pPr>
        <w:rPr>
          <w:rFonts w:ascii="Arial" w:hAnsi="Arial"/>
          <w:b/>
          <w:i/>
        </w:rPr>
      </w:pPr>
    </w:p>
    <w:p w14:paraId="2F330B67" w14:textId="77777777" w:rsidR="004E46A3" w:rsidRDefault="004E46A3">
      <w:pPr>
        <w:rPr>
          <w:rFonts w:ascii="Arial" w:hAnsi="Arial"/>
          <w:b/>
          <w:i/>
        </w:rPr>
      </w:pPr>
      <w:r>
        <w:rPr>
          <w:rFonts w:ascii="Arial" w:hAnsi="Arial"/>
          <w:b/>
          <w:i/>
        </w:rPr>
        <w:t>Q&amp;A Statement No. 34 and Related Pronouncements (2</w:t>
      </w:r>
      <w:r>
        <w:rPr>
          <w:rFonts w:ascii="Arial" w:hAnsi="Arial"/>
          <w:b/>
          <w:i/>
          <w:vertAlign w:val="superscript"/>
        </w:rPr>
        <w:t>nd</w:t>
      </w:r>
      <w:r>
        <w:rPr>
          <w:rFonts w:ascii="Arial" w:hAnsi="Arial"/>
          <w:b/>
          <w:i/>
        </w:rPr>
        <w:t xml:space="preserve"> Q&amp;A)</w:t>
      </w:r>
    </w:p>
    <w:p w14:paraId="54493E4A" w14:textId="77777777" w:rsidR="004E46A3" w:rsidRDefault="004E46A3">
      <w:pPr>
        <w:rPr>
          <w:rFonts w:ascii="Arial" w:hAnsi="Arial"/>
          <w:b/>
          <w:i/>
        </w:rPr>
      </w:pPr>
      <w:r>
        <w:rPr>
          <w:rFonts w:ascii="Arial" w:hAnsi="Arial"/>
          <w:b/>
          <w:i/>
        </w:rPr>
        <w:t>Question 115</w:t>
      </w:r>
    </w:p>
    <w:p w14:paraId="18E78EDA" w14:textId="77777777" w:rsidR="004E46A3" w:rsidRDefault="004E46A3">
      <w:pPr>
        <w:rPr>
          <w:rFonts w:ascii="Arial" w:hAnsi="Arial"/>
          <w:b/>
        </w:rPr>
      </w:pPr>
    </w:p>
    <w:p w14:paraId="065FFF3D" w14:textId="77777777" w:rsidR="004E46A3" w:rsidRDefault="004E46A3">
      <w:pPr>
        <w:rPr>
          <w:rFonts w:ascii="Arial" w:hAnsi="Arial"/>
          <w:b/>
        </w:rPr>
      </w:pPr>
      <w:r>
        <w:rPr>
          <w:rFonts w:ascii="Arial" w:hAnsi="Arial"/>
          <w:b/>
        </w:rPr>
        <w:t>Q—A city operates under an internal policy that requires separate accounting for assets, liabilities, revenues, and expenses related to any activity that raises revenues pledged as security for debt. Is the city required to disclose segment information relative to those activities?</w:t>
      </w:r>
    </w:p>
    <w:p w14:paraId="2BCF89EC" w14:textId="77777777" w:rsidR="004E46A3" w:rsidRDefault="004E46A3">
      <w:pPr>
        <w:rPr>
          <w:rFonts w:ascii="Arial" w:hAnsi="Arial"/>
        </w:rPr>
      </w:pPr>
    </w:p>
    <w:p w14:paraId="53EAF681" w14:textId="77777777" w:rsidR="004E46A3" w:rsidRDefault="004E46A3">
      <w:pPr>
        <w:rPr>
          <w:rFonts w:ascii="Arial" w:hAnsi="Arial"/>
        </w:rPr>
      </w:pPr>
      <w:r>
        <w:rPr>
          <w:rFonts w:ascii="Arial" w:hAnsi="Arial"/>
        </w:rPr>
        <w:t xml:space="preserve">A—No. Paragraph 17 of Statement 37 clarifies that the separate accounting requirement should be imposed by an </w:t>
      </w:r>
      <w:r>
        <w:rPr>
          <w:rFonts w:ascii="Arial" w:hAnsi="Arial"/>
          <w:i/>
        </w:rPr>
        <w:t>external</w:t>
      </w:r>
      <w:r>
        <w:rPr>
          <w:rFonts w:ascii="Arial" w:hAnsi="Arial"/>
        </w:rPr>
        <w:t xml:space="preserve"> party.  The city should not include its “segment-like” information in the required segment </w:t>
      </w:r>
      <w:proofErr w:type="gramStart"/>
      <w:r>
        <w:rPr>
          <w:rFonts w:ascii="Arial" w:hAnsi="Arial"/>
        </w:rPr>
        <w:t>disclosure, but</w:t>
      </w:r>
      <w:proofErr w:type="gramEnd"/>
      <w:r>
        <w:rPr>
          <w:rFonts w:ascii="Arial" w:hAnsi="Arial"/>
        </w:rPr>
        <w:t xml:space="preserve"> may present the information in a separate note or as supplementary information without referring to the condensed financial information as “segment” information.</w:t>
      </w:r>
    </w:p>
    <w:p w14:paraId="77FF8F8C" w14:textId="77777777" w:rsidR="004E46A3" w:rsidRDefault="004E46A3">
      <w:pPr>
        <w:rPr>
          <w:rFonts w:ascii="Arial" w:hAnsi="Arial"/>
          <w:u w:val="single"/>
        </w:rPr>
      </w:pPr>
    </w:p>
    <w:p w14:paraId="2232E226" w14:textId="77777777" w:rsidR="009E568F" w:rsidRDefault="009E568F">
      <w:pPr>
        <w:rPr>
          <w:rFonts w:ascii="Arial" w:hAnsi="Arial"/>
          <w:u w:val="single"/>
        </w:rPr>
      </w:pPr>
    </w:p>
    <w:p w14:paraId="151AA20D" w14:textId="77777777" w:rsidR="004E46A3" w:rsidRDefault="004E46A3">
      <w:pPr>
        <w:rPr>
          <w:rFonts w:ascii="Arial" w:hAnsi="Arial"/>
          <w:b/>
          <w:i/>
        </w:rPr>
      </w:pPr>
      <w:r>
        <w:rPr>
          <w:rFonts w:ascii="Arial" w:hAnsi="Arial"/>
          <w:b/>
          <w:i/>
        </w:rPr>
        <w:t>Q&amp;A Statement No. 34 and Related Pronouncements (2</w:t>
      </w:r>
      <w:r>
        <w:rPr>
          <w:rFonts w:ascii="Arial" w:hAnsi="Arial"/>
          <w:b/>
          <w:i/>
          <w:vertAlign w:val="superscript"/>
        </w:rPr>
        <w:t>nd</w:t>
      </w:r>
      <w:r>
        <w:rPr>
          <w:rFonts w:ascii="Arial" w:hAnsi="Arial"/>
          <w:b/>
          <w:i/>
        </w:rPr>
        <w:t xml:space="preserve"> Q&amp;A)</w:t>
      </w:r>
    </w:p>
    <w:p w14:paraId="39C782D2" w14:textId="77777777" w:rsidR="004E46A3" w:rsidRDefault="004E46A3">
      <w:pPr>
        <w:rPr>
          <w:rFonts w:ascii="Arial" w:hAnsi="Arial"/>
          <w:b/>
          <w:i/>
        </w:rPr>
      </w:pPr>
      <w:r>
        <w:rPr>
          <w:rFonts w:ascii="Arial" w:hAnsi="Arial"/>
          <w:b/>
          <w:i/>
        </w:rPr>
        <w:t>Question 127</w:t>
      </w:r>
    </w:p>
    <w:p w14:paraId="35F291AC" w14:textId="77777777" w:rsidR="004E46A3" w:rsidRDefault="004E46A3">
      <w:pPr>
        <w:rPr>
          <w:rFonts w:ascii="Arial" w:hAnsi="Arial"/>
          <w:b/>
        </w:rPr>
      </w:pPr>
    </w:p>
    <w:p w14:paraId="35CB5617" w14:textId="77777777" w:rsidR="004E46A3" w:rsidRDefault="004E46A3">
      <w:pPr>
        <w:rPr>
          <w:rFonts w:ascii="Arial" w:hAnsi="Arial"/>
          <w:b/>
        </w:rPr>
      </w:pPr>
      <w:r>
        <w:rPr>
          <w:rFonts w:ascii="Arial" w:hAnsi="Arial"/>
          <w:b/>
        </w:rPr>
        <w:t xml:space="preserve">Q—A state university’s food service facilities were financed by revenue bonds.  The bond indenture includes a requirement to provide to the </w:t>
      </w:r>
      <w:proofErr w:type="gramStart"/>
      <w:r>
        <w:rPr>
          <w:rFonts w:ascii="Arial" w:hAnsi="Arial"/>
          <w:b/>
        </w:rPr>
        <w:t>trustee</w:t>
      </w:r>
      <w:proofErr w:type="gramEnd"/>
      <w:r>
        <w:rPr>
          <w:rFonts w:ascii="Arial" w:hAnsi="Arial"/>
          <w:b/>
        </w:rPr>
        <w:t xml:space="preserve"> a financial statement showing the coverage of the pledged revenues to the operating expenses of the facilities.  Is the university required to make the segment disclosures set forth in paragraph 122 of statement 34?</w:t>
      </w:r>
    </w:p>
    <w:p w14:paraId="54B28BB1" w14:textId="77777777" w:rsidR="004E46A3" w:rsidRDefault="004E46A3">
      <w:pPr>
        <w:rPr>
          <w:rFonts w:ascii="Arial" w:hAnsi="Arial"/>
        </w:rPr>
      </w:pPr>
      <w:r>
        <w:rPr>
          <w:rFonts w:ascii="Arial" w:hAnsi="Arial"/>
        </w:rPr>
        <w:t>A—No. Paragraph 122, as amended by Statement 37, states that an activity is a segment if its revenues, expenses, gains and losses, and assets and liabilities are required to be accounted for separately.  Therefore, because the requirement in this case is limited to only revenues and expenses, the university would not be required to make segment disclosures for its food service operations.</w:t>
      </w:r>
    </w:p>
    <w:p w14:paraId="60A5EF3F" w14:textId="77777777" w:rsidR="004F761C" w:rsidRDefault="004F761C">
      <w:pPr>
        <w:rPr>
          <w:rFonts w:ascii="Arial" w:hAnsi="Arial"/>
        </w:rPr>
      </w:pPr>
    </w:p>
    <w:p w14:paraId="58D83DF2" w14:textId="77777777" w:rsidR="004F761C" w:rsidRPr="003A0302" w:rsidRDefault="004F761C">
      <w:pPr>
        <w:rPr>
          <w:rFonts w:ascii="Arial" w:hAnsi="Arial"/>
          <w:b/>
          <w:smallCaps/>
          <w:sz w:val="24"/>
          <w:u w:val="single"/>
        </w:rPr>
      </w:pPr>
      <w:r w:rsidRPr="003A0302">
        <w:rPr>
          <w:rFonts w:ascii="Arial" w:hAnsi="Arial"/>
          <w:b/>
          <w:smallCaps/>
          <w:sz w:val="24"/>
          <w:u w:val="single"/>
        </w:rPr>
        <w:t>Tax Abatement Worksheet 640</w:t>
      </w:r>
    </w:p>
    <w:p w14:paraId="7ACD42A1" w14:textId="77777777" w:rsidR="004F761C" w:rsidRPr="00F42701" w:rsidRDefault="004F761C">
      <w:pPr>
        <w:rPr>
          <w:rFonts w:ascii="Arial" w:hAnsi="Arial"/>
          <w:b/>
          <w:sz w:val="22"/>
          <w:u w:val="single"/>
        </w:rPr>
      </w:pPr>
    </w:p>
    <w:p w14:paraId="2F8212E6" w14:textId="77777777" w:rsidR="004F761C" w:rsidRPr="00F42701" w:rsidRDefault="004F761C">
      <w:pPr>
        <w:rPr>
          <w:rFonts w:ascii="Arial" w:hAnsi="Arial"/>
        </w:rPr>
      </w:pPr>
      <w:r w:rsidRPr="00F42701">
        <w:rPr>
          <w:rFonts w:ascii="Arial" w:hAnsi="Arial"/>
        </w:rPr>
        <w:t xml:space="preserve">GASB Statement 77 establishes accounting and financial reporting standards for tax abatement disclosures.  </w:t>
      </w:r>
      <w:r w:rsidR="00F42701" w:rsidRPr="00F42701">
        <w:rPr>
          <w:rFonts w:ascii="Arial" w:hAnsi="Arial"/>
        </w:rPr>
        <w:t>This worksheet only applies to the Department of Commerce.</w:t>
      </w:r>
    </w:p>
    <w:p w14:paraId="2C1BD780" w14:textId="77777777" w:rsidR="004F761C" w:rsidRPr="00F42701" w:rsidRDefault="004F761C">
      <w:pPr>
        <w:rPr>
          <w:rFonts w:ascii="Arial" w:hAnsi="Arial"/>
        </w:rPr>
      </w:pPr>
    </w:p>
    <w:p w14:paraId="43270A17" w14:textId="77777777" w:rsidR="004F761C" w:rsidRDefault="004F761C">
      <w:pPr>
        <w:rPr>
          <w:rFonts w:ascii="Arial" w:hAnsi="Arial"/>
        </w:rPr>
      </w:pPr>
      <w:r w:rsidRPr="00F42701">
        <w:rPr>
          <w:rFonts w:ascii="Arial" w:hAnsi="Arial"/>
        </w:rPr>
        <w:t>The following information is required to be disclosed</w:t>
      </w:r>
      <w:r w:rsidR="00F42701" w:rsidRPr="00F42701">
        <w:rPr>
          <w:rFonts w:ascii="Arial" w:hAnsi="Arial"/>
        </w:rPr>
        <w:t xml:space="preserve"> for each Tax Abatement Program of the State and should be reported on Worksheet 640 in the appropriate space</w:t>
      </w:r>
      <w:r w:rsidR="005114E3">
        <w:rPr>
          <w:rFonts w:ascii="Arial" w:hAnsi="Arial"/>
        </w:rPr>
        <w:t xml:space="preserve">.  The paragraph reference within GASB </w:t>
      </w:r>
      <w:r w:rsidR="00043F7A">
        <w:rPr>
          <w:rFonts w:ascii="Arial" w:hAnsi="Arial"/>
        </w:rPr>
        <w:t xml:space="preserve">Codification on Tax Abatements </w:t>
      </w:r>
      <w:r w:rsidR="005114E3">
        <w:rPr>
          <w:rFonts w:ascii="Arial" w:hAnsi="Arial"/>
        </w:rPr>
        <w:t>is listed beside each disclosure requirement.</w:t>
      </w:r>
    </w:p>
    <w:p w14:paraId="4BBADDDC" w14:textId="77777777" w:rsidR="00D24EAE" w:rsidRPr="00F42701" w:rsidRDefault="00D24EAE">
      <w:pPr>
        <w:rPr>
          <w:rFonts w:ascii="Arial" w:hAnsi="Arial"/>
        </w:rPr>
      </w:pPr>
    </w:p>
    <w:p w14:paraId="5ADE2207"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Program Name</w:t>
      </w:r>
      <w:r w:rsidR="00D24EAE">
        <w:rPr>
          <w:rFonts w:ascii="Arial" w:hAnsi="Arial"/>
          <w:sz w:val="20"/>
        </w:rPr>
        <w:t xml:space="preserve"> [</w:t>
      </w:r>
      <w:r w:rsidR="00043F7A">
        <w:rPr>
          <w:rFonts w:ascii="Arial" w:hAnsi="Arial"/>
          <w:sz w:val="20"/>
        </w:rPr>
        <w:t>GASB Codification T10 .105</w:t>
      </w:r>
      <w:proofErr w:type="gramStart"/>
      <w:r w:rsidR="00043F7A">
        <w:rPr>
          <w:rFonts w:ascii="Arial" w:hAnsi="Arial"/>
          <w:sz w:val="20"/>
        </w:rPr>
        <w:t>a.(</w:t>
      </w:r>
      <w:proofErr w:type="gramEnd"/>
      <w:r w:rsidR="00043F7A">
        <w:rPr>
          <w:rFonts w:ascii="Arial" w:hAnsi="Arial"/>
          <w:sz w:val="20"/>
        </w:rPr>
        <w:t>1)</w:t>
      </w:r>
      <w:r w:rsidR="00D24EAE">
        <w:rPr>
          <w:rFonts w:ascii="Arial" w:hAnsi="Arial"/>
          <w:sz w:val="20"/>
        </w:rPr>
        <w:t>]</w:t>
      </w:r>
    </w:p>
    <w:p w14:paraId="16CC4FF8"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Specific Tax Abated</w:t>
      </w:r>
      <w:r w:rsidR="00D24EAE">
        <w:rPr>
          <w:rFonts w:ascii="Arial" w:hAnsi="Arial"/>
          <w:sz w:val="20"/>
        </w:rPr>
        <w:t xml:space="preserve"> [</w:t>
      </w:r>
      <w:r w:rsidR="00043F7A">
        <w:rPr>
          <w:rFonts w:ascii="Arial" w:hAnsi="Arial"/>
          <w:sz w:val="20"/>
        </w:rPr>
        <w:t>GASB Codification T10 .105</w:t>
      </w:r>
      <w:proofErr w:type="gramStart"/>
      <w:r w:rsidR="00043F7A">
        <w:rPr>
          <w:rFonts w:ascii="Arial" w:hAnsi="Arial"/>
          <w:sz w:val="20"/>
        </w:rPr>
        <w:t>a.(</w:t>
      </w:r>
      <w:proofErr w:type="gramEnd"/>
      <w:r w:rsidR="00043F7A">
        <w:rPr>
          <w:rFonts w:ascii="Arial" w:hAnsi="Arial"/>
          <w:sz w:val="20"/>
        </w:rPr>
        <w:t>2)</w:t>
      </w:r>
      <w:r w:rsidR="00D24EAE">
        <w:rPr>
          <w:rFonts w:ascii="Arial" w:hAnsi="Arial"/>
          <w:sz w:val="20"/>
        </w:rPr>
        <w:t>]</w:t>
      </w:r>
    </w:p>
    <w:p w14:paraId="3724A660"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Authority for the Abatement</w:t>
      </w:r>
      <w:r w:rsidR="00D24EAE">
        <w:rPr>
          <w:rFonts w:ascii="Arial" w:hAnsi="Arial"/>
          <w:sz w:val="20"/>
        </w:rPr>
        <w:t xml:space="preserve"> [</w:t>
      </w:r>
      <w:r w:rsidR="00043F7A">
        <w:rPr>
          <w:rFonts w:ascii="Arial" w:hAnsi="Arial"/>
          <w:sz w:val="20"/>
        </w:rPr>
        <w:t>GASB Codification T10 .105</w:t>
      </w:r>
      <w:proofErr w:type="gramStart"/>
      <w:r w:rsidR="00043F7A">
        <w:rPr>
          <w:rFonts w:ascii="Arial" w:hAnsi="Arial"/>
          <w:sz w:val="20"/>
        </w:rPr>
        <w:t>a(</w:t>
      </w:r>
      <w:proofErr w:type="gramEnd"/>
      <w:r w:rsidR="00043F7A">
        <w:rPr>
          <w:rFonts w:ascii="Arial" w:hAnsi="Arial"/>
          <w:sz w:val="20"/>
        </w:rPr>
        <w:t>3)</w:t>
      </w:r>
      <w:r w:rsidR="00D24EAE">
        <w:rPr>
          <w:rFonts w:ascii="Arial" w:hAnsi="Arial"/>
          <w:sz w:val="20"/>
        </w:rPr>
        <w:t>]</w:t>
      </w:r>
    </w:p>
    <w:p w14:paraId="140F7D15"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 xml:space="preserve">Gross dollar amount of taxes abated during the fiscal year </w:t>
      </w:r>
      <w:r w:rsidRPr="00636A7B">
        <w:rPr>
          <w:rFonts w:ascii="Arial" w:hAnsi="Arial"/>
          <w:sz w:val="20"/>
          <w:highlight w:val="yellow"/>
          <w:u w:val="single"/>
        </w:rPr>
        <w:t>on an accrual basis</w:t>
      </w:r>
      <w:r w:rsidR="00F42701" w:rsidRPr="00636A7B">
        <w:rPr>
          <w:rFonts w:ascii="Arial" w:hAnsi="Arial"/>
          <w:sz w:val="20"/>
          <w:highlight w:val="yellow"/>
          <w:u w:val="single"/>
        </w:rPr>
        <w:t>.</w:t>
      </w:r>
      <w:r w:rsidR="00D24EAE" w:rsidRPr="00636A7B">
        <w:rPr>
          <w:rFonts w:ascii="Arial" w:hAnsi="Arial"/>
          <w:sz w:val="20"/>
          <w:u w:val="single"/>
        </w:rPr>
        <w:t xml:space="preserve"> </w:t>
      </w:r>
      <w:r w:rsidR="00043F7A">
        <w:rPr>
          <w:rFonts w:ascii="Arial" w:hAnsi="Arial"/>
          <w:sz w:val="20"/>
        </w:rPr>
        <w:t>[GASB Codification T10 .105b.</w:t>
      </w:r>
      <w:r w:rsidR="00D24EAE">
        <w:rPr>
          <w:rFonts w:ascii="Arial" w:hAnsi="Arial"/>
          <w:sz w:val="20"/>
        </w:rPr>
        <w:t>]</w:t>
      </w:r>
    </w:p>
    <w:p w14:paraId="313E37B1"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General Statute or Authority preventing details from being disclosed.</w:t>
      </w:r>
      <w:r w:rsidR="00D24EAE">
        <w:rPr>
          <w:rFonts w:ascii="Arial" w:hAnsi="Arial"/>
          <w:sz w:val="20"/>
        </w:rPr>
        <w:t xml:space="preserve"> </w:t>
      </w:r>
      <w:r w:rsidR="00043F7A">
        <w:rPr>
          <w:rFonts w:ascii="Arial" w:hAnsi="Arial"/>
          <w:sz w:val="20"/>
        </w:rPr>
        <w:t>[GASB Codification T10 .105f.</w:t>
      </w:r>
      <w:r w:rsidR="00D24EAE">
        <w:rPr>
          <w:rFonts w:ascii="Arial" w:hAnsi="Arial"/>
          <w:sz w:val="20"/>
        </w:rPr>
        <w:t>]</w:t>
      </w:r>
    </w:p>
    <w:p w14:paraId="3AEB4975" w14:textId="77777777" w:rsidR="00F42701" w:rsidRPr="00F42701" w:rsidRDefault="00F42701">
      <w:pPr>
        <w:rPr>
          <w:rFonts w:ascii="Arial" w:hAnsi="Arial"/>
        </w:rPr>
      </w:pPr>
    </w:p>
    <w:p w14:paraId="6F6DE445" w14:textId="77777777" w:rsidR="00F42701" w:rsidRPr="00F42701" w:rsidRDefault="00F42701">
      <w:pPr>
        <w:rPr>
          <w:rFonts w:ascii="Arial" w:hAnsi="Arial"/>
        </w:rPr>
      </w:pPr>
      <w:r w:rsidRPr="00F42701">
        <w:rPr>
          <w:rFonts w:ascii="Arial" w:hAnsi="Arial"/>
        </w:rPr>
        <w:lastRenderedPageBreak/>
        <w:t>The following information is required to be disclosed for each Tax</w:t>
      </w:r>
      <w:r w:rsidR="00BB3284">
        <w:rPr>
          <w:rFonts w:ascii="Arial" w:hAnsi="Arial"/>
        </w:rPr>
        <w:t xml:space="preserve"> Abatement Program of the State</w:t>
      </w:r>
      <w:r w:rsidRPr="00F42701">
        <w:rPr>
          <w:rFonts w:ascii="Arial" w:hAnsi="Arial"/>
        </w:rPr>
        <w:t xml:space="preserve"> and should be reported on the Narrative for Worksheet 640.</w:t>
      </w:r>
    </w:p>
    <w:p w14:paraId="65DB11F1" w14:textId="77777777" w:rsidR="00F42701" w:rsidRPr="005114E3" w:rsidRDefault="00F42701" w:rsidP="00F42701">
      <w:pPr>
        <w:pStyle w:val="ListParagraph"/>
        <w:numPr>
          <w:ilvl w:val="0"/>
          <w:numId w:val="36"/>
        </w:numPr>
        <w:rPr>
          <w:rFonts w:ascii="Arial" w:hAnsi="Arial"/>
          <w:sz w:val="20"/>
          <w:szCs w:val="20"/>
        </w:rPr>
      </w:pPr>
      <w:r w:rsidRPr="005114E3">
        <w:rPr>
          <w:rFonts w:ascii="Arial" w:hAnsi="Arial"/>
          <w:sz w:val="20"/>
          <w:szCs w:val="20"/>
        </w:rPr>
        <w:t>Program Purpose</w:t>
      </w:r>
      <w:r w:rsidR="005114E3">
        <w:rPr>
          <w:rFonts w:ascii="Arial" w:hAnsi="Arial"/>
          <w:sz w:val="20"/>
          <w:szCs w:val="20"/>
        </w:rPr>
        <w:t xml:space="preserve"> [</w:t>
      </w:r>
      <w:r w:rsidR="00F37FE9">
        <w:rPr>
          <w:rFonts w:ascii="Arial" w:hAnsi="Arial"/>
          <w:sz w:val="20"/>
          <w:szCs w:val="20"/>
        </w:rPr>
        <w:t>GASB Codification T10 .105</w:t>
      </w:r>
      <w:proofErr w:type="gramStart"/>
      <w:r w:rsidR="00F37FE9">
        <w:rPr>
          <w:rFonts w:ascii="Arial" w:hAnsi="Arial"/>
          <w:sz w:val="20"/>
          <w:szCs w:val="20"/>
        </w:rPr>
        <w:t>a.(</w:t>
      </w:r>
      <w:proofErr w:type="gramEnd"/>
      <w:r w:rsidR="00F37FE9">
        <w:rPr>
          <w:rFonts w:ascii="Arial" w:hAnsi="Arial"/>
          <w:sz w:val="20"/>
          <w:szCs w:val="20"/>
        </w:rPr>
        <w:t>1)</w:t>
      </w:r>
      <w:r w:rsidR="005114E3">
        <w:rPr>
          <w:rFonts w:ascii="Arial" w:hAnsi="Arial"/>
          <w:sz w:val="20"/>
          <w:szCs w:val="20"/>
        </w:rPr>
        <w:t>]</w:t>
      </w:r>
    </w:p>
    <w:p w14:paraId="204C3387" w14:textId="77777777" w:rsidR="00F42701" w:rsidRPr="005114E3" w:rsidRDefault="00F42701" w:rsidP="00F42701">
      <w:pPr>
        <w:pStyle w:val="ListParagraph"/>
        <w:numPr>
          <w:ilvl w:val="0"/>
          <w:numId w:val="36"/>
        </w:numPr>
        <w:rPr>
          <w:rFonts w:ascii="Arial" w:hAnsi="Arial"/>
          <w:sz w:val="20"/>
          <w:szCs w:val="20"/>
        </w:rPr>
      </w:pPr>
      <w:r w:rsidRPr="005114E3">
        <w:rPr>
          <w:rFonts w:ascii="Arial" w:hAnsi="Arial"/>
          <w:sz w:val="20"/>
          <w:szCs w:val="20"/>
        </w:rPr>
        <w:t>Eligibility Criteria for the agreement</w:t>
      </w:r>
      <w:r w:rsidR="005114E3">
        <w:rPr>
          <w:rFonts w:ascii="Arial" w:hAnsi="Arial"/>
          <w:sz w:val="20"/>
          <w:szCs w:val="20"/>
        </w:rPr>
        <w:t xml:space="preserve"> [</w:t>
      </w:r>
      <w:r w:rsidR="00F37FE9">
        <w:rPr>
          <w:rFonts w:ascii="Arial" w:hAnsi="Arial"/>
          <w:sz w:val="20"/>
          <w:szCs w:val="20"/>
        </w:rPr>
        <w:t>GASB Codification T10 .105</w:t>
      </w:r>
      <w:proofErr w:type="gramStart"/>
      <w:r w:rsidR="00F37FE9">
        <w:rPr>
          <w:rFonts w:ascii="Arial" w:hAnsi="Arial"/>
          <w:sz w:val="20"/>
          <w:szCs w:val="20"/>
        </w:rPr>
        <w:t>a.(</w:t>
      </w:r>
      <w:proofErr w:type="gramEnd"/>
      <w:r w:rsidR="00F37FE9">
        <w:rPr>
          <w:rFonts w:ascii="Arial" w:hAnsi="Arial"/>
          <w:sz w:val="20"/>
          <w:szCs w:val="20"/>
        </w:rPr>
        <w:t>4</w:t>
      </w:r>
      <w:r w:rsidR="005114E3">
        <w:rPr>
          <w:rFonts w:ascii="Arial" w:hAnsi="Arial"/>
          <w:sz w:val="20"/>
          <w:szCs w:val="20"/>
        </w:rPr>
        <w:t>)]</w:t>
      </w:r>
    </w:p>
    <w:p w14:paraId="266187E1" w14:textId="77777777" w:rsidR="00F42701" w:rsidRPr="00F37FE9" w:rsidRDefault="00F42701" w:rsidP="00F37FE9">
      <w:pPr>
        <w:pStyle w:val="ListParagraph"/>
        <w:numPr>
          <w:ilvl w:val="0"/>
          <w:numId w:val="36"/>
        </w:numPr>
        <w:rPr>
          <w:rFonts w:ascii="Arial" w:hAnsi="Arial"/>
          <w:sz w:val="20"/>
          <w:szCs w:val="20"/>
        </w:rPr>
      </w:pPr>
      <w:r w:rsidRPr="005114E3">
        <w:rPr>
          <w:rFonts w:ascii="Arial" w:hAnsi="Arial"/>
          <w:sz w:val="20"/>
          <w:szCs w:val="20"/>
        </w:rPr>
        <w:t>Abatement mechanism</w:t>
      </w:r>
      <w:r w:rsidR="005114E3">
        <w:rPr>
          <w:rFonts w:ascii="Arial" w:hAnsi="Arial"/>
          <w:sz w:val="20"/>
          <w:szCs w:val="20"/>
        </w:rPr>
        <w:t xml:space="preserve"> [</w:t>
      </w:r>
      <w:r w:rsidR="00F37FE9">
        <w:rPr>
          <w:rFonts w:ascii="Arial" w:hAnsi="Arial"/>
          <w:sz w:val="20"/>
          <w:szCs w:val="20"/>
        </w:rPr>
        <w:t>GASB Codification T10 .105</w:t>
      </w:r>
      <w:proofErr w:type="gramStart"/>
      <w:r w:rsidR="00F37FE9">
        <w:rPr>
          <w:rFonts w:ascii="Arial" w:hAnsi="Arial"/>
          <w:sz w:val="20"/>
          <w:szCs w:val="20"/>
        </w:rPr>
        <w:t>a.(</w:t>
      </w:r>
      <w:proofErr w:type="gramEnd"/>
      <w:r w:rsidR="00F37FE9">
        <w:rPr>
          <w:rFonts w:ascii="Arial" w:hAnsi="Arial"/>
          <w:sz w:val="20"/>
          <w:szCs w:val="20"/>
        </w:rPr>
        <w:t>5</w:t>
      </w:r>
      <w:r w:rsidR="005114E3" w:rsidRPr="00F37FE9">
        <w:rPr>
          <w:rFonts w:ascii="Arial" w:hAnsi="Arial"/>
        </w:rPr>
        <w:t>)]</w:t>
      </w:r>
    </w:p>
    <w:p w14:paraId="06A6814F" w14:textId="77777777" w:rsidR="00F42701" w:rsidRPr="00B2570E" w:rsidRDefault="00F42701" w:rsidP="00F42701">
      <w:pPr>
        <w:pStyle w:val="ListParagraph"/>
        <w:numPr>
          <w:ilvl w:val="0"/>
          <w:numId w:val="36"/>
        </w:numPr>
        <w:rPr>
          <w:rFonts w:ascii="Arial" w:hAnsi="Arial"/>
          <w:sz w:val="20"/>
          <w:szCs w:val="20"/>
          <w:lang w:val="fr-FR"/>
        </w:rPr>
      </w:pPr>
      <w:r w:rsidRPr="00B2570E">
        <w:rPr>
          <w:rFonts w:ascii="Arial" w:hAnsi="Arial"/>
          <w:sz w:val="20"/>
          <w:szCs w:val="20"/>
          <w:lang w:val="fr-FR"/>
        </w:rPr>
        <w:t>Recapture Provisions</w:t>
      </w:r>
      <w:r w:rsidR="005114E3" w:rsidRPr="00B2570E">
        <w:rPr>
          <w:rFonts w:ascii="Arial" w:hAnsi="Arial"/>
          <w:sz w:val="20"/>
          <w:szCs w:val="20"/>
          <w:lang w:val="fr-FR"/>
        </w:rPr>
        <w:t xml:space="preserve"> [</w:t>
      </w:r>
      <w:r w:rsidR="00F37FE9" w:rsidRPr="00B2570E">
        <w:rPr>
          <w:rFonts w:ascii="Arial" w:hAnsi="Arial"/>
          <w:sz w:val="20"/>
          <w:szCs w:val="20"/>
          <w:lang w:val="fr-FR"/>
        </w:rPr>
        <w:t>GASB Codification T10 .105</w:t>
      </w:r>
      <w:proofErr w:type="gramStart"/>
      <w:r w:rsidR="00F37FE9" w:rsidRPr="00B2570E">
        <w:rPr>
          <w:rFonts w:ascii="Arial" w:hAnsi="Arial"/>
          <w:sz w:val="20"/>
          <w:szCs w:val="20"/>
          <w:lang w:val="fr-FR"/>
        </w:rPr>
        <w:t>a.(</w:t>
      </w:r>
      <w:proofErr w:type="gramEnd"/>
      <w:r w:rsidR="00F37FE9" w:rsidRPr="00B2570E">
        <w:rPr>
          <w:rFonts w:ascii="Arial" w:hAnsi="Arial"/>
          <w:sz w:val="20"/>
          <w:szCs w:val="20"/>
          <w:lang w:val="fr-FR"/>
        </w:rPr>
        <w:t>6</w:t>
      </w:r>
      <w:r w:rsidR="005114E3" w:rsidRPr="00B2570E">
        <w:rPr>
          <w:rFonts w:ascii="Arial" w:hAnsi="Arial"/>
          <w:sz w:val="20"/>
          <w:szCs w:val="20"/>
          <w:lang w:val="fr-FR"/>
        </w:rPr>
        <w:t>)]</w:t>
      </w:r>
    </w:p>
    <w:p w14:paraId="3CBB5A83" w14:textId="77777777" w:rsidR="00F42701" w:rsidRPr="005114E3" w:rsidRDefault="00F42701" w:rsidP="00F42701">
      <w:pPr>
        <w:pStyle w:val="ListParagraph"/>
        <w:numPr>
          <w:ilvl w:val="0"/>
          <w:numId w:val="36"/>
        </w:numPr>
        <w:rPr>
          <w:rFonts w:ascii="Arial" w:hAnsi="Arial"/>
          <w:sz w:val="20"/>
          <w:szCs w:val="20"/>
        </w:rPr>
      </w:pPr>
      <w:r w:rsidRPr="005114E3">
        <w:rPr>
          <w:rFonts w:ascii="Arial" w:hAnsi="Arial"/>
          <w:sz w:val="20"/>
          <w:szCs w:val="20"/>
        </w:rPr>
        <w:t>Recipient Commitments</w:t>
      </w:r>
      <w:r w:rsidR="005114E3">
        <w:rPr>
          <w:rFonts w:ascii="Arial" w:hAnsi="Arial"/>
          <w:sz w:val="20"/>
          <w:szCs w:val="20"/>
        </w:rPr>
        <w:t xml:space="preserve"> </w:t>
      </w:r>
      <w:r w:rsidR="00F37FE9">
        <w:rPr>
          <w:rFonts w:ascii="Arial" w:hAnsi="Arial"/>
          <w:sz w:val="20"/>
          <w:szCs w:val="20"/>
        </w:rPr>
        <w:t>[GASB Codification T10 .105</w:t>
      </w:r>
      <w:proofErr w:type="gramStart"/>
      <w:r w:rsidR="00F37FE9">
        <w:rPr>
          <w:rFonts w:ascii="Arial" w:hAnsi="Arial"/>
          <w:sz w:val="20"/>
          <w:szCs w:val="20"/>
        </w:rPr>
        <w:t>a.(</w:t>
      </w:r>
      <w:proofErr w:type="gramEnd"/>
      <w:r w:rsidR="00F37FE9">
        <w:rPr>
          <w:rFonts w:ascii="Arial" w:hAnsi="Arial"/>
          <w:sz w:val="20"/>
          <w:szCs w:val="20"/>
        </w:rPr>
        <w:t>7</w:t>
      </w:r>
      <w:r w:rsidR="005114E3">
        <w:rPr>
          <w:rFonts w:ascii="Arial" w:hAnsi="Arial"/>
          <w:sz w:val="20"/>
          <w:szCs w:val="20"/>
        </w:rPr>
        <w:t>)]</w:t>
      </w:r>
    </w:p>
    <w:p w14:paraId="7A8C30DF" w14:textId="77777777" w:rsidR="00F42701" w:rsidRPr="005114E3" w:rsidRDefault="00F42701" w:rsidP="00F42701">
      <w:pPr>
        <w:pStyle w:val="ListParagraph"/>
        <w:numPr>
          <w:ilvl w:val="0"/>
          <w:numId w:val="36"/>
        </w:numPr>
        <w:rPr>
          <w:rFonts w:ascii="Arial" w:hAnsi="Arial"/>
          <w:sz w:val="20"/>
          <w:szCs w:val="20"/>
        </w:rPr>
      </w:pPr>
      <w:r w:rsidRPr="005114E3">
        <w:rPr>
          <w:rFonts w:ascii="Arial" w:hAnsi="Arial"/>
          <w:sz w:val="20"/>
          <w:szCs w:val="20"/>
        </w:rPr>
        <w:t>Commitments made by the State, other than to abate taxes, as part of the agreement.</w:t>
      </w:r>
      <w:r w:rsidR="005114E3">
        <w:rPr>
          <w:rFonts w:ascii="Arial" w:hAnsi="Arial"/>
          <w:sz w:val="20"/>
          <w:szCs w:val="20"/>
        </w:rPr>
        <w:t xml:space="preserve"> </w:t>
      </w:r>
      <w:r w:rsidR="00F37FE9">
        <w:rPr>
          <w:rFonts w:ascii="Arial" w:hAnsi="Arial"/>
          <w:sz w:val="20"/>
          <w:szCs w:val="20"/>
        </w:rPr>
        <w:t>[GASB Codification T10 .105d.</w:t>
      </w:r>
      <w:r w:rsidR="005114E3">
        <w:rPr>
          <w:rFonts w:ascii="Arial" w:hAnsi="Arial"/>
          <w:sz w:val="20"/>
          <w:szCs w:val="20"/>
        </w:rPr>
        <w:t>]</w:t>
      </w:r>
    </w:p>
    <w:p w14:paraId="6F3BE0AE" w14:textId="77777777" w:rsidR="005114E3" w:rsidRPr="005114E3" w:rsidRDefault="005114E3" w:rsidP="00F42701">
      <w:pPr>
        <w:pStyle w:val="ListParagraph"/>
        <w:numPr>
          <w:ilvl w:val="0"/>
          <w:numId w:val="36"/>
        </w:numPr>
        <w:rPr>
          <w:rFonts w:ascii="Arial" w:hAnsi="Arial"/>
          <w:sz w:val="20"/>
          <w:szCs w:val="20"/>
        </w:rPr>
      </w:pPr>
      <w:r w:rsidRPr="005114E3">
        <w:rPr>
          <w:rFonts w:ascii="Arial" w:hAnsi="Arial"/>
          <w:sz w:val="20"/>
          <w:szCs w:val="20"/>
        </w:rPr>
        <w:t>Description of the general nature of the tax information omitted.</w:t>
      </w:r>
      <w:r>
        <w:rPr>
          <w:rFonts w:ascii="Arial" w:hAnsi="Arial"/>
          <w:sz w:val="20"/>
          <w:szCs w:val="20"/>
        </w:rPr>
        <w:t xml:space="preserve"> </w:t>
      </w:r>
      <w:r w:rsidR="00F37FE9">
        <w:rPr>
          <w:rFonts w:ascii="Arial" w:hAnsi="Arial"/>
          <w:sz w:val="20"/>
          <w:szCs w:val="20"/>
        </w:rPr>
        <w:t>[GASB Codification T10 .105f.</w:t>
      </w:r>
      <w:r>
        <w:rPr>
          <w:rFonts w:ascii="Arial" w:hAnsi="Arial"/>
          <w:sz w:val="20"/>
          <w:szCs w:val="20"/>
        </w:rPr>
        <w:t>]</w:t>
      </w:r>
    </w:p>
    <w:p w14:paraId="67277536" w14:textId="77777777" w:rsidR="005114E3" w:rsidRPr="005114E3" w:rsidRDefault="005114E3" w:rsidP="00F42701">
      <w:pPr>
        <w:pStyle w:val="ListParagraph"/>
        <w:numPr>
          <w:ilvl w:val="0"/>
          <w:numId w:val="36"/>
        </w:numPr>
        <w:rPr>
          <w:rFonts w:ascii="Arial" w:hAnsi="Arial"/>
          <w:sz w:val="20"/>
          <w:szCs w:val="20"/>
        </w:rPr>
      </w:pPr>
      <w:r w:rsidRPr="005114E3">
        <w:rPr>
          <w:rFonts w:ascii="Arial" w:hAnsi="Arial"/>
          <w:sz w:val="20"/>
          <w:szCs w:val="20"/>
        </w:rPr>
        <w:t>Amounts that are received or are receivable from other governments in association with forgone revenue including the names of the governments and the authority under which the programs were or will be paid.</w:t>
      </w:r>
      <w:r>
        <w:rPr>
          <w:rFonts w:ascii="Arial" w:hAnsi="Arial"/>
          <w:sz w:val="20"/>
          <w:szCs w:val="20"/>
        </w:rPr>
        <w:t xml:space="preserve"> [</w:t>
      </w:r>
      <w:r w:rsidR="00F37FE9">
        <w:rPr>
          <w:rFonts w:ascii="Arial" w:hAnsi="Arial"/>
          <w:sz w:val="20"/>
          <w:szCs w:val="20"/>
        </w:rPr>
        <w:t>GASB Codification T10 .105c.</w:t>
      </w:r>
      <w:r>
        <w:rPr>
          <w:rFonts w:ascii="Arial" w:hAnsi="Arial"/>
          <w:sz w:val="20"/>
          <w:szCs w:val="20"/>
        </w:rPr>
        <w:t>]</w:t>
      </w:r>
    </w:p>
    <w:tbl>
      <w:tblPr>
        <w:tblW w:w="22391" w:type="dxa"/>
        <w:tblInd w:w="108" w:type="dxa"/>
        <w:tblLook w:val="04A0" w:firstRow="1" w:lastRow="0" w:firstColumn="1" w:lastColumn="0" w:noHBand="0" w:noVBand="1"/>
      </w:tblPr>
      <w:tblGrid>
        <w:gridCol w:w="11561"/>
        <w:gridCol w:w="725"/>
        <w:gridCol w:w="723"/>
        <w:gridCol w:w="622"/>
        <w:gridCol w:w="622"/>
        <w:gridCol w:w="622"/>
        <w:gridCol w:w="389"/>
        <w:gridCol w:w="389"/>
        <w:gridCol w:w="374"/>
        <w:gridCol w:w="684"/>
        <w:gridCol w:w="4106"/>
        <w:gridCol w:w="684"/>
        <w:gridCol w:w="374"/>
        <w:gridCol w:w="516"/>
      </w:tblGrid>
      <w:tr w:rsidR="003A680B" w:rsidRPr="003A680B" w14:paraId="1D7876E0" w14:textId="77777777" w:rsidTr="00DB6975">
        <w:trPr>
          <w:trHeight w:val="255"/>
        </w:trPr>
        <w:tc>
          <w:tcPr>
            <w:tcW w:w="11561" w:type="dxa"/>
            <w:tcBorders>
              <w:top w:val="nil"/>
              <w:left w:val="nil"/>
              <w:bottom w:val="nil"/>
              <w:right w:val="nil"/>
            </w:tcBorders>
            <w:noWrap/>
            <w:vAlign w:val="bottom"/>
            <w:hideMark/>
          </w:tcPr>
          <w:p w14:paraId="6FC87826" w14:textId="77777777" w:rsidR="003A680B" w:rsidRPr="003A680B" w:rsidRDefault="003A680B" w:rsidP="003A680B">
            <w:pPr>
              <w:rPr>
                <w:rFonts w:ascii="Arial" w:hAnsi="Arial" w:cs="Arial"/>
              </w:rPr>
            </w:pPr>
          </w:p>
        </w:tc>
        <w:tc>
          <w:tcPr>
            <w:tcW w:w="725" w:type="dxa"/>
            <w:tcBorders>
              <w:top w:val="nil"/>
              <w:left w:val="nil"/>
              <w:bottom w:val="nil"/>
              <w:right w:val="nil"/>
            </w:tcBorders>
            <w:noWrap/>
            <w:vAlign w:val="bottom"/>
            <w:hideMark/>
          </w:tcPr>
          <w:p w14:paraId="78B63A58" w14:textId="77777777" w:rsidR="003A680B" w:rsidRPr="003A680B" w:rsidRDefault="003A680B" w:rsidP="003A680B">
            <w:pPr>
              <w:rPr>
                <w:rFonts w:ascii="Arial" w:hAnsi="Arial" w:cs="Arial"/>
              </w:rPr>
            </w:pPr>
          </w:p>
        </w:tc>
        <w:tc>
          <w:tcPr>
            <w:tcW w:w="723" w:type="dxa"/>
            <w:tcBorders>
              <w:top w:val="nil"/>
              <w:left w:val="nil"/>
              <w:bottom w:val="nil"/>
              <w:right w:val="nil"/>
            </w:tcBorders>
            <w:noWrap/>
            <w:vAlign w:val="bottom"/>
            <w:hideMark/>
          </w:tcPr>
          <w:p w14:paraId="01E93B95" w14:textId="77777777" w:rsidR="003A680B" w:rsidRPr="003A680B" w:rsidRDefault="003A680B" w:rsidP="003A680B">
            <w:pPr>
              <w:rPr>
                <w:rFonts w:ascii="Arial" w:hAnsi="Arial" w:cs="Arial"/>
              </w:rPr>
            </w:pPr>
          </w:p>
        </w:tc>
        <w:tc>
          <w:tcPr>
            <w:tcW w:w="622" w:type="dxa"/>
            <w:tcBorders>
              <w:top w:val="nil"/>
              <w:left w:val="nil"/>
              <w:bottom w:val="nil"/>
              <w:right w:val="nil"/>
            </w:tcBorders>
            <w:noWrap/>
            <w:vAlign w:val="bottom"/>
            <w:hideMark/>
          </w:tcPr>
          <w:p w14:paraId="6B9F6F1C" w14:textId="77777777" w:rsidR="003A680B" w:rsidRPr="003A680B" w:rsidRDefault="003A680B" w:rsidP="003A680B">
            <w:pPr>
              <w:rPr>
                <w:rFonts w:ascii="Arial" w:hAnsi="Arial" w:cs="Arial"/>
              </w:rPr>
            </w:pPr>
          </w:p>
        </w:tc>
        <w:tc>
          <w:tcPr>
            <w:tcW w:w="622" w:type="dxa"/>
            <w:tcBorders>
              <w:top w:val="nil"/>
              <w:left w:val="nil"/>
              <w:bottom w:val="nil"/>
              <w:right w:val="nil"/>
            </w:tcBorders>
            <w:noWrap/>
            <w:vAlign w:val="bottom"/>
            <w:hideMark/>
          </w:tcPr>
          <w:p w14:paraId="5E7676EA" w14:textId="77777777" w:rsidR="003A680B" w:rsidRPr="003A680B" w:rsidRDefault="003A680B" w:rsidP="003A680B">
            <w:pPr>
              <w:rPr>
                <w:rFonts w:ascii="Arial" w:hAnsi="Arial" w:cs="Arial"/>
              </w:rPr>
            </w:pPr>
          </w:p>
        </w:tc>
        <w:tc>
          <w:tcPr>
            <w:tcW w:w="622" w:type="dxa"/>
            <w:tcBorders>
              <w:top w:val="nil"/>
              <w:left w:val="nil"/>
              <w:bottom w:val="nil"/>
              <w:right w:val="nil"/>
            </w:tcBorders>
            <w:noWrap/>
            <w:vAlign w:val="bottom"/>
            <w:hideMark/>
          </w:tcPr>
          <w:p w14:paraId="01BCD597" w14:textId="77777777" w:rsidR="003A680B" w:rsidRPr="003A680B" w:rsidRDefault="003A680B" w:rsidP="003A680B">
            <w:pPr>
              <w:rPr>
                <w:rFonts w:ascii="Arial" w:hAnsi="Arial" w:cs="Arial"/>
              </w:rPr>
            </w:pPr>
          </w:p>
        </w:tc>
        <w:tc>
          <w:tcPr>
            <w:tcW w:w="389" w:type="dxa"/>
            <w:tcBorders>
              <w:top w:val="nil"/>
              <w:left w:val="nil"/>
              <w:bottom w:val="nil"/>
              <w:right w:val="nil"/>
            </w:tcBorders>
            <w:noWrap/>
            <w:vAlign w:val="bottom"/>
            <w:hideMark/>
          </w:tcPr>
          <w:p w14:paraId="445AA885" w14:textId="77777777" w:rsidR="003A680B" w:rsidRPr="003A680B" w:rsidRDefault="003A680B" w:rsidP="003A680B">
            <w:pPr>
              <w:rPr>
                <w:rFonts w:ascii="Arial" w:hAnsi="Arial" w:cs="Arial"/>
              </w:rPr>
            </w:pPr>
          </w:p>
        </w:tc>
        <w:tc>
          <w:tcPr>
            <w:tcW w:w="389" w:type="dxa"/>
            <w:tcBorders>
              <w:top w:val="nil"/>
              <w:left w:val="nil"/>
              <w:bottom w:val="nil"/>
              <w:right w:val="nil"/>
            </w:tcBorders>
            <w:noWrap/>
            <w:vAlign w:val="bottom"/>
            <w:hideMark/>
          </w:tcPr>
          <w:p w14:paraId="64FFC5AA" w14:textId="77777777" w:rsidR="003A680B" w:rsidRPr="003A680B" w:rsidRDefault="003A680B" w:rsidP="003A680B">
            <w:pPr>
              <w:rPr>
                <w:rFonts w:ascii="Arial" w:hAnsi="Arial" w:cs="Arial"/>
              </w:rPr>
            </w:pPr>
          </w:p>
        </w:tc>
        <w:tc>
          <w:tcPr>
            <w:tcW w:w="374" w:type="dxa"/>
            <w:tcBorders>
              <w:top w:val="nil"/>
              <w:left w:val="nil"/>
              <w:bottom w:val="nil"/>
              <w:right w:val="nil"/>
            </w:tcBorders>
            <w:noWrap/>
            <w:vAlign w:val="bottom"/>
            <w:hideMark/>
          </w:tcPr>
          <w:p w14:paraId="434F0950" w14:textId="77777777" w:rsidR="003A680B" w:rsidRPr="003A680B" w:rsidRDefault="003A680B" w:rsidP="003A680B">
            <w:pPr>
              <w:rPr>
                <w:rFonts w:ascii="Arial" w:hAnsi="Arial" w:cs="Arial"/>
              </w:rPr>
            </w:pPr>
          </w:p>
        </w:tc>
        <w:tc>
          <w:tcPr>
            <w:tcW w:w="684" w:type="dxa"/>
            <w:tcBorders>
              <w:top w:val="nil"/>
              <w:left w:val="nil"/>
              <w:bottom w:val="nil"/>
              <w:right w:val="nil"/>
            </w:tcBorders>
            <w:noWrap/>
            <w:vAlign w:val="bottom"/>
            <w:hideMark/>
          </w:tcPr>
          <w:p w14:paraId="4A2513E2" w14:textId="77777777" w:rsidR="003A680B" w:rsidRPr="003A680B" w:rsidRDefault="003A680B" w:rsidP="003A680B">
            <w:pPr>
              <w:rPr>
                <w:rFonts w:ascii="Arial" w:hAnsi="Arial" w:cs="Arial"/>
              </w:rPr>
            </w:pPr>
          </w:p>
        </w:tc>
        <w:tc>
          <w:tcPr>
            <w:tcW w:w="4106" w:type="dxa"/>
            <w:tcBorders>
              <w:top w:val="nil"/>
              <w:left w:val="nil"/>
              <w:bottom w:val="nil"/>
              <w:right w:val="nil"/>
            </w:tcBorders>
            <w:noWrap/>
            <w:vAlign w:val="bottom"/>
            <w:hideMark/>
          </w:tcPr>
          <w:p w14:paraId="0B78AC6E" w14:textId="77777777" w:rsidR="003A680B" w:rsidRPr="003A680B" w:rsidRDefault="003A680B" w:rsidP="003A680B">
            <w:pPr>
              <w:rPr>
                <w:rFonts w:ascii="Arial" w:hAnsi="Arial" w:cs="Arial"/>
              </w:rPr>
            </w:pPr>
          </w:p>
        </w:tc>
        <w:tc>
          <w:tcPr>
            <w:tcW w:w="684" w:type="dxa"/>
            <w:tcBorders>
              <w:top w:val="nil"/>
              <w:left w:val="nil"/>
              <w:bottom w:val="nil"/>
              <w:right w:val="nil"/>
            </w:tcBorders>
            <w:noWrap/>
            <w:vAlign w:val="bottom"/>
            <w:hideMark/>
          </w:tcPr>
          <w:p w14:paraId="2F7BBDF2" w14:textId="77777777" w:rsidR="003A680B" w:rsidRPr="003A680B" w:rsidRDefault="003A680B" w:rsidP="003A680B">
            <w:pPr>
              <w:rPr>
                <w:rFonts w:ascii="Arial" w:hAnsi="Arial" w:cs="Arial"/>
              </w:rPr>
            </w:pPr>
          </w:p>
        </w:tc>
        <w:tc>
          <w:tcPr>
            <w:tcW w:w="374" w:type="dxa"/>
            <w:tcBorders>
              <w:top w:val="nil"/>
              <w:left w:val="nil"/>
              <w:bottom w:val="nil"/>
              <w:right w:val="nil"/>
            </w:tcBorders>
            <w:noWrap/>
            <w:vAlign w:val="bottom"/>
            <w:hideMark/>
          </w:tcPr>
          <w:p w14:paraId="3932B96B" w14:textId="77777777" w:rsidR="003A680B" w:rsidRPr="003A680B" w:rsidRDefault="003A680B" w:rsidP="003A680B">
            <w:pPr>
              <w:rPr>
                <w:rFonts w:ascii="Arial" w:hAnsi="Arial" w:cs="Arial"/>
              </w:rPr>
            </w:pPr>
          </w:p>
        </w:tc>
        <w:tc>
          <w:tcPr>
            <w:tcW w:w="516" w:type="dxa"/>
            <w:tcBorders>
              <w:top w:val="nil"/>
              <w:left w:val="nil"/>
              <w:bottom w:val="nil"/>
              <w:right w:val="nil"/>
            </w:tcBorders>
            <w:noWrap/>
            <w:vAlign w:val="bottom"/>
            <w:hideMark/>
          </w:tcPr>
          <w:p w14:paraId="6A0002CE" w14:textId="77777777" w:rsidR="003A680B" w:rsidRPr="003A680B" w:rsidRDefault="003A680B" w:rsidP="003A680B">
            <w:pPr>
              <w:rPr>
                <w:rFonts w:ascii="Arial" w:hAnsi="Arial" w:cs="Arial"/>
              </w:rPr>
            </w:pPr>
          </w:p>
        </w:tc>
      </w:tr>
    </w:tbl>
    <w:p w14:paraId="31752147" w14:textId="77777777" w:rsidR="004E46A3" w:rsidRPr="003A0302" w:rsidRDefault="004E46A3" w:rsidP="00E928E1">
      <w:pPr>
        <w:pStyle w:val="Heading6"/>
        <w:spacing w:line="240" w:lineRule="auto"/>
        <w:ind w:left="0" w:firstLine="0"/>
        <w:rPr>
          <w:smallCaps/>
          <w:sz w:val="24"/>
          <w:szCs w:val="24"/>
        </w:rPr>
      </w:pPr>
      <w:r w:rsidRPr="003A0302">
        <w:rPr>
          <w:smallCaps/>
          <w:sz w:val="24"/>
          <w:szCs w:val="24"/>
        </w:rPr>
        <w:t>D</w:t>
      </w:r>
      <w:r w:rsidR="003A0302">
        <w:rPr>
          <w:smallCaps/>
          <w:sz w:val="24"/>
          <w:szCs w:val="24"/>
        </w:rPr>
        <w:t>eposits</w:t>
      </w:r>
      <w:r w:rsidRPr="003A0302">
        <w:rPr>
          <w:smallCaps/>
          <w:sz w:val="24"/>
          <w:szCs w:val="24"/>
        </w:rPr>
        <w:t xml:space="preserve"> </w:t>
      </w:r>
      <w:r w:rsidR="003A0302">
        <w:rPr>
          <w:smallCaps/>
          <w:sz w:val="24"/>
          <w:szCs w:val="24"/>
        </w:rPr>
        <w:t>and</w:t>
      </w:r>
      <w:r w:rsidRPr="003A0302">
        <w:rPr>
          <w:smallCaps/>
          <w:sz w:val="24"/>
          <w:szCs w:val="24"/>
        </w:rPr>
        <w:t xml:space="preserve"> </w:t>
      </w:r>
      <w:r w:rsidR="00562D57" w:rsidRPr="003A0302">
        <w:rPr>
          <w:smallCaps/>
          <w:sz w:val="24"/>
          <w:szCs w:val="24"/>
        </w:rPr>
        <w:t>I</w:t>
      </w:r>
      <w:r w:rsidR="003A0302">
        <w:rPr>
          <w:smallCaps/>
          <w:sz w:val="24"/>
          <w:szCs w:val="24"/>
        </w:rPr>
        <w:t>nvestments</w:t>
      </w:r>
      <w:r w:rsidR="00562D57" w:rsidRPr="003A0302">
        <w:rPr>
          <w:smallCaps/>
          <w:sz w:val="24"/>
          <w:szCs w:val="24"/>
        </w:rPr>
        <w:t xml:space="preserve"> – (</w:t>
      </w:r>
      <w:r w:rsidRPr="003A0302">
        <w:rPr>
          <w:smallCaps/>
          <w:sz w:val="24"/>
          <w:szCs w:val="24"/>
        </w:rPr>
        <w:t>70</w:t>
      </w:r>
      <w:r w:rsidR="0002617E" w:rsidRPr="003A0302">
        <w:rPr>
          <w:smallCaps/>
          <w:sz w:val="24"/>
          <w:szCs w:val="24"/>
        </w:rPr>
        <w:t>5</w:t>
      </w:r>
      <w:r w:rsidRPr="003A0302">
        <w:rPr>
          <w:smallCaps/>
          <w:sz w:val="24"/>
          <w:szCs w:val="24"/>
        </w:rPr>
        <w:t>-7</w:t>
      </w:r>
      <w:r w:rsidR="00D4119B" w:rsidRPr="003A0302">
        <w:rPr>
          <w:smallCaps/>
          <w:sz w:val="24"/>
          <w:szCs w:val="24"/>
        </w:rPr>
        <w:t>65</w:t>
      </w:r>
      <w:r w:rsidRPr="003A0302">
        <w:rPr>
          <w:smallCaps/>
          <w:sz w:val="24"/>
          <w:szCs w:val="24"/>
        </w:rPr>
        <w:t>)</w:t>
      </w:r>
      <w:r w:rsidR="00D4119B" w:rsidRPr="003A0302">
        <w:rPr>
          <w:smallCaps/>
          <w:sz w:val="24"/>
          <w:szCs w:val="24"/>
        </w:rPr>
        <w:t xml:space="preserve">; </w:t>
      </w:r>
      <w:r w:rsidR="00D4119B" w:rsidRPr="009EA386">
        <w:rPr>
          <w:smallCaps/>
          <w:sz w:val="24"/>
          <w:szCs w:val="24"/>
        </w:rPr>
        <w:t>D</w:t>
      </w:r>
      <w:r w:rsidR="003A0302" w:rsidRPr="009EA386">
        <w:rPr>
          <w:smallCaps/>
          <w:sz w:val="24"/>
          <w:szCs w:val="24"/>
        </w:rPr>
        <w:t>erivatives</w:t>
      </w:r>
      <w:r w:rsidR="00D4119B" w:rsidRPr="009EA386">
        <w:rPr>
          <w:smallCaps/>
          <w:sz w:val="24"/>
          <w:szCs w:val="24"/>
        </w:rPr>
        <w:t xml:space="preserve"> (755)</w:t>
      </w:r>
    </w:p>
    <w:p w14:paraId="758A7994" w14:textId="77777777" w:rsidR="004E46A3" w:rsidRDefault="004E46A3" w:rsidP="00D774E3">
      <w:pPr>
        <w:rPr>
          <w:sz w:val="24"/>
          <w:szCs w:val="24"/>
        </w:rPr>
      </w:pPr>
    </w:p>
    <w:p w14:paraId="5C672C55" w14:textId="77777777" w:rsidR="00BF0AD6" w:rsidRDefault="00BF0AD6" w:rsidP="00D774E3">
      <w:pPr>
        <w:rPr>
          <w:sz w:val="24"/>
          <w:szCs w:val="24"/>
        </w:rPr>
      </w:pPr>
      <w:r>
        <w:rPr>
          <w:sz w:val="24"/>
          <w:szCs w:val="24"/>
        </w:rPr>
        <w:t>Note</w:t>
      </w:r>
      <w:proofErr w:type="gramStart"/>
      <w:r>
        <w:rPr>
          <w:sz w:val="24"/>
          <w:szCs w:val="24"/>
        </w:rPr>
        <w:t>:  Each</w:t>
      </w:r>
      <w:proofErr w:type="gramEnd"/>
      <w:r>
        <w:rPr>
          <w:sz w:val="24"/>
          <w:szCs w:val="24"/>
        </w:rPr>
        <w:t xml:space="preserve"> deposit and investment worksheet should be completed for </w:t>
      </w:r>
      <w:r w:rsidRPr="00BF0AD6">
        <w:rPr>
          <w:sz w:val="24"/>
          <w:szCs w:val="24"/>
          <w:u w:val="single"/>
        </w:rPr>
        <w:t>all GASB funds</w:t>
      </w:r>
      <w:r>
        <w:rPr>
          <w:sz w:val="24"/>
          <w:szCs w:val="24"/>
        </w:rPr>
        <w:t>.</w:t>
      </w:r>
    </w:p>
    <w:p w14:paraId="7D1CA599" w14:textId="77777777" w:rsidR="00BF0AD6" w:rsidRPr="00473A6E" w:rsidRDefault="00BF0AD6" w:rsidP="00D774E3">
      <w:pPr>
        <w:rPr>
          <w:sz w:val="24"/>
          <w:szCs w:val="24"/>
        </w:rPr>
      </w:pPr>
    </w:p>
    <w:p w14:paraId="4F09CDED" w14:textId="77777777" w:rsidR="004908D4" w:rsidRPr="003A0302" w:rsidRDefault="004908D4" w:rsidP="00D774E3">
      <w:pPr>
        <w:jc w:val="both"/>
        <w:rPr>
          <w:rFonts w:ascii="Arial" w:hAnsi="Arial"/>
          <w:b/>
          <w:sz w:val="22"/>
          <w:szCs w:val="22"/>
          <w:u w:val="single"/>
        </w:rPr>
      </w:pPr>
      <w:r w:rsidRPr="003A0302">
        <w:rPr>
          <w:rFonts w:ascii="Arial" w:hAnsi="Arial"/>
          <w:b/>
          <w:sz w:val="22"/>
          <w:szCs w:val="22"/>
          <w:u w:val="single"/>
        </w:rPr>
        <w:t xml:space="preserve">Worksheet </w:t>
      </w:r>
      <w:proofErr w:type="gramStart"/>
      <w:r w:rsidRPr="003A0302">
        <w:rPr>
          <w:rFonts w:ascii="Arial" w:hAnsi="Arial"/>
          <w:b/>
          <w:sz w:val="22"/>
          <w:szCs w:val="22"/>
          <w:u w:val="single"/>
        </w:rPr>
        <w:t>705</w:t>
      </w:r>
      <w:r w:rsidR="000523AD" w:rsidRPr="003A0302">
        <w:rPr>
          <w:rFonts w:ascii="Arial" w:hAnsi="Arial"/>
          <w:b/>
          <w:sz w:val="22"/>
          <w:szCs w:val="22"/>
          <w:u w:val="single"/>
        </w:rPr>
        <w:t xml:space="preserve"> </w:t>
      </w:r>
      <w:r w:rsidRPr="003A0302">
        <w:rPr>
          <w:rFonts w:ascii="Arial" w:hAnsi="Arial"/>
          <w:b/>
          <w:sz w:val="22"/>
          <w:szCs w:val="22"/>
          <w:u w:val="single"/>
        </w:rPr>
        <w:t xml:space="preserve"> —</w:t>
      </w:r>
      <w:proofErr w:type="gramEnd"/>
      <w:r w:rsidRPr="003A0302">
        <w:rPr>
          <w:rFonts w:ascii="Arial" w:hAnsi="Arial"/>
          <w:b/>
          <w:sz w:val="22"/>
          <w:szCs w:val="22"/>
          <w:u w:val="single"/>
        </w:rPr>
        <w:t xml:space="preserve"> </w:t>
      </w:r>
      <w:r w:rsidR="000523AD" w:rsidRPr="003A0302">
        <w:rPr>
          <w:rFonts w:ascii="Arial" w:hAnsi="Arial"/>
          <w:b/>
          <w:sz w:val="22"/>
          <w:szCs w:val="22"/>
          <w:u w:val="single"/>
        </w:rPr>
        <w:t xml:space="preserve"> </w:t>
      </w:r>
      <w:r w:rsidRPr="003A0302">
        <w:rPr>
          <w:rFonts w:ascii="Arial" w:hAnsi="Arial"/>
          <w:b/>
          <w:sz w:val="22"/>
          <w:szCs w:val="22"/>
          <w:u w:val="single"/>
        </w:rPr>
        <w:t xml:space="preserve">Cash And Cash Equivalents </w:t>
      </w:r>
      <w:proofErr w:type="gramStart"/>
      <w:r w:rsidRPr="003A0302">
        <w:rPr>
          <w:rFonts w:ascii="Arial" w:hAnsi="Arial"/>
          <w:b/>
          <w:sz w:val="22"/>
          <w:szCs w:val="22"/>
          <w:u w:val="single"/>
        </w:rPr>
        <w:t>In</w:t>
      </w:r>
      <w:proofErr w:type="gramEnd"/>
      <w:r w:rsidRPr="003A0302">
        <w:rPr>
          <w:rFonts w:ascii="Arial" w:hAnsi="Arial"/>
          <w:b/>
          <w:sz w:val="22"/>
          <w:szCs w:val="22"/>
          <w:u w:val="single"/>
        </w:rPr>
        <w:t xml:space="preserve"> Banks Outside </w:t>
      </w:r>
      <w:proofErr w:type="gramStart"/>
      <w:r w:rsidRPr="003A0302">
        <w:rPr>
          <w:rFonts w:ascii="Arial" w:hAnsi="Arial"/>
          <w:b/>
          <w:sz w:val="22"/>
          <w:szCs w:val="22"/>
          <w:u w:val="single"/>
        </w:rPr>
        <w:t>The</w:t>
      </w:r>
      <w:proofErr w:type="gramEnd"/>
      <w:r w:rsidRPr="003A0302">
        <w:rPr>
          <w:rFonts w:ascii="Arial" w:hAnsi="Arial"/>
          <w:b/>
          <w:sz w:val="22"/>
          <w:szCs w:val="22"/>
          <w:u w:val="single"/>
        </w:rPr>
        <w:t xml:space="preserve"> State Treasurer—Custodial Credit Risk - Deposits</w:t>
      </w:r>
    </w:p>
    <w:p w14:paraId="462DD3F1" w14:textId="77777777" w:rsidR="004908D4" w:rsidRDefault="004908D4" w:rsidP="00D774E3">
      <w:pPr>
        <w:jc w:val="both"/>
        <w:rPr>
          <w:rFonts w:ascii="Arial" w:hAnsi="Arial"/>
        </w:rPr>
      </w:pPr>
    </w:p>
    <w:p w14:paraId="67288C08" w14:textId="77777777" w:rsidR="004908D4" w:rsidRDefault="004908D4" w:rsidP="00D774E3">
      <w:pPr>
        <w:jc w:val="both"/>
        <w:rPr>
          <w:rFonts w:ascii="Arial" w:hAnsi="Arial"/>
        </w:rPr>
      </w:pPr>
      <w:r>
        <w:rPr>
          <w:rFonts w:ascii="Arial" w:hAnsi="Arial"/>
        </w:rPr>
        <w:t xml:space="preserve">Insert the totals for </w:t>
      </w:r>
      <w:r>
        <w:rPr>
          <w:rFonts w:ascii="Arial" w:hAnsi="Arial"/>
          <w:b/>
        </w:rPr>
        <w:t>Total Cash by Bank</w:t>
      </w:r>
      <w:r>
        <w:rPr>
          <w:rFonts w:ascii="Arial" w:hAnsi="Arial"/>
        </w:rPr>
        <w:t xml:space="preserve"> in column (A) on worksheet 705. The totals by bank for </w:t>
      </w:r>
      <w:r>
        <w:rPr>
          <w:rFonts w:ascii="Arial" w:hAnsi="Arial"/>
          <w:i/>
        </w:rPr>
        <w:t>Demand Accounts</w:t>
      </w:r>
      <w:r>
        <w:rPr>
          <w:rFonts w:ascii="Arial" w:hAnsi="Arial"/>
        </w:rPr>
        <w:t xml:space="preserve"> (noninterest bearing check</w:t>
      </w:r>
      <w:r w:rsidR="00B65D88">
        <w:rPr>
          <w:rFonts w:ascii="Arial" w:hAnsi="Arial"/>
        </w:rPr>
        <w:t>, interest bearing check,</w:t>
      </w:r>
      <w:r>
        <w:rPr>
          <w:rFonts w:ascii="Arial" w:hAnsi="Arial"/>
        </w:rPr>
        <w:t xml:space="preserve"> and cash with fiscal agent) and </w:t>
      </w:r>
      <w:r>
        <w:rPr>
          <w:rFonts w:ascii="Arial" w:hAnsi="Arial"/>
          <w:i/>
        </w:rPr>
        <w:t>Time Accounts</w:t>
      </w:r>
      <w:r>
        <w:rPr>
          <w:rFonts w:ascii="Arial" w:hAnsi="Arial"/>
        </w:rPr>
        <w:t xml:space="preserve"> (savings accounts, NOW accounts, money market accounts, and pooled cash accounts) must be added together before entering them on worksheet 705.</w:t>
      </w:r>
    </w:p>
    <w:p w14:paraId="1990F3B0" w14:textId="77777777" w:rsidR="00142CC0" w:rsidRDefault="00142CC0" w:rsidP="00D774E3">
      <w:pPr>
        <w:jc w:val="both"/>
        <w:rPr>
          <w:rFonts w:ascii="Arial" w:hAnsi="Arial"/>
        </w:rPr>
      </w:pPr>
    </w:p>
    <w:p w14:paraId="68E1662D" w14:textId="77777777" w:rsidR="00142CC0" w:rsidRDefault="00142CC0" w:rsidP="00D774E3">
      <w:pPr>
        <w:jc w:val="both"/>
        <w:rPr>
          <w:rFonts w:ascii="Arial" w:hAnsi="Arial"/>
        </w:rPr>
      </w:pPr>
      <w:r>
        <w:rPr>
          <w:rFonts w:ascii="Arial" w:hAnsi="Arial"/>
        </w:rPr>
        <w:t xml:space="preserve">Deposits subject to custodial credit risk </w:t>
      </w:r>
      <w:r w:rsidR="00722C94">
        <w:rPr>
          <w:rFonts w:ascii="Arial" w:hAnsi="Arial"/>
        </w:rPr>
        <w:t>s</w:t>
      </w:r>
      <w:r w:rsidR="00144737">
        <w:rPr>
          <w:rFonts w:ascii="Arial" w:hAnsi="Arial"/>
        </w:rPr>
        <w:t xml:space="preserve">hould be </w:t>
      </w:r>
      <w:r w:rsidR="00722C94">
        <w:rPr>
          <w:rFonts w:ascii="Arial" w:hAnsi="Arial"/>
        </w:rPr>
        <w:t>disclosed</w:t>
      </w:r>
      <w:r>
        <w:rPr>
          <w:rFonts w:ascii="Arial" w:hAnsi="Arial"/>
        </w:rPr>
        <w:t xml:space="preserve">.  Deposits are exposed to custodial credit risk if they are not covered by depository insurance and the deposits are </w:t>
      </w:r>
    </w:p>
    <w:p w14:paraId="2A19B1E1" w14:textId="77777777" w:rsidR="00142CC0" w:rsidRDefault="00142CC0" w:rsidP="00D774E3">
      <w:pPr>
        <w:jc w:val="both"/>
        <w:rPr>
          <w:rFonts w:ascii="Arial" w:hAnsi="Arial"/>
        </w:rPr>
      </w:pPr>
    </w:p>
    <w:p w14:paraId="36C9BCEF" w14:textId="77777777" w:rsidR="00142CC0" w:rsidRPr="00142CC0" w:rsidRDefault="00142CC0" w:rsidP="00D774E3">
      <w:pPr>
        <w:numPr>
          <w:ilvl w:val="0"/>
          <w:numId w:val="17"/>
        </w:numPr>
        <w:tabs>
          <w:tab w:val="clear" w:pos="720"/>
          <w:tab w:val="left" w:pos="432"/>
        </w:tabs>
        <w:ind w:left="450" w:hanging="450"/>
        <w:jc w:val="both"/>
        <w:rPr>
          <w:rFonts w:ascii="Arial" w:hAnsi="Arial"/>
        </w:rPr>
      </w:pPr>
      <w:r w:rsidRPr="00142CC0">
        <w:rPr>
          <w:rFonts w:ascii="Arial" w:hAnsi="Arial"/>
        </w:rPr>
        <w:t>Uncollateralized</w:t>
      </w:r>
      <w:r>
        <w:rPr>
          <w:rFonts w:ascii="Arial" w:hAnsi="Arial"/>
        </w:rPr>
        <w:t xml:space="preserve"> (</w:t>
      </w:r>
      <w:r w:rsidR="00722C94">
        <w:rPr>
          <w:rFonts w:ascii="Arial" w:hAnsi="Arial"/>
        </w:rPr>
        <w:t xml:space="preserve">an uncollateralized deposit does not have securities pledged to the depositor-government, </w:t>
      </w:r>
      <w:r>
        <w:rPr>
          <w:rFonts w:ascii="Arial" w:hAnsi="Arial"/>
        </w:rPr>
        <w:t>column B),</w:t>
      </w:r>
    </w:p>
    <w:p w14:paraId="7461FF80" w14:textId="77777777" w:rsidR="00142CC0" w:rsidRPr="00142CC0" w:rsidRDefault="00142CC0" w:rsidP="00D774E3">
      <w:pPr>
        <w:numPr>
          <w:ilvl w:val="0"/>
          <w:numId w:val="17"/>
        </w:numPr>
        <w:tabs>
          <w:tab w:val="left" w:pos="432"/>
        </w:tabs>
        <w:jc w:val="both"/>
        <w:rPr>
          <w:rFonts w:ascii="Arial" w:hAnsi="Arial"/>
        </w:rPr>
      </w:pPr>
      <w:r w:rsidRPr="00142CC0">
        <w:rPr>
          <w:rFonts w:ascii="Arial" w:hAnsi="Arial"/>
        </w:rPr>
        <w:t>Collateralized with securities held by the pledging financial institution</w:t>
      </w:r>
      <w:r>
        <w:rPr>
          <w:rFonts w:ascii="Arial" w:hAnsi="Arial"/>
        </w:rPr>
        <w:t xml:space="preserve"> (column C)</w:t>
      </w:r>
      <w:r w:rsidRPr="00142CC0">
        <w:rPr>
          <w:rFonts w:ascii="Arial" w:hAnsi="Arial"/>
        </w:rPr>
        <w:t>, or</w:t>
      </w:r>
    </w:p>
    <w:p w14:paraId="6E93DA2B" w14:textId="77777777" w:rsidR="00142CC0" w:rsidRPr="00142CC0" w:rsidRDefault="00142CC0" w:rsidP="00D774E3">
      <w:pPr>
        <w:numPr>
          <w:ilvl w:val="0"/>
          <w:numId w:val="17"/>
        </w:numPr>
        <w:tabs>
          <w:tab w:val="clear" w:pos="720"/>
          <w:tab w:val="left" w:pos="432"/>
        </w:tabs>
        <w:ind w:left="450" w:hanging="450"/>
        <w:jc w:val="both"/>
        <w:rPr>
          <w:rFonts w:ascii="Arial" w:hAnsi="Arial"/>
        </w:rPr>
      </w:pPr>
      <w:r w:rsidRPr="00142CC0">
        <w:rPr>
          <w:rFonts w:ascii="Arial" w:hAnsi="Arial"/>
        </w:rPr>
        <w:t>Collateralized with securities held by the pledging financial institution’s trust department or agent but not in the depositor-government’s name</w:t>
      </w:r>
      <w:r>
        <w:rPr>
          <w:rFonts w:ascii="Arial" w:hAnsi="Arial"/>
        </w:rPr>
        <w:t xml:space="preserve"> (column D)</w:t>
      </w:r>
      <w:r w:rsidRPr="00142CC0">
        <w:rPr>
          <w:rFonts w:ascii="Arial" w:hAnsi="Arial"/>
        </w:rPr>
        <w:t>.</w:t>
      </w:r>
    </w:p>
    <w:p w14:paraId="39258973" w14:textId="77777777" w:rsidR="00142CC0" w:rsidRDefault="00142CC0" w:rsidP="00D774E3">
      <w:pPr>
        <w:jc w:val="both"/>
        <w:rPr>
          <w:rFonts w:ascii="Arial" w:hAnsi="Arial"/>
        </w:rPr>
      </w:pPr>
    </w:p>
    <w:p w14:paraId="7016D4EB" w14:textId="77777777" w:rsidR="0070458A" w:rsidRPr="00142CC0" w:rsidRDefault="0070458A" w:rsidP="00D774E3">
      <w:pPr>
        <w:jc w:val="both"/>
        <w:rPr>
          <w:rFonts w:ascii="Arial" w:hAnsi="Arial"/>
        </w:rPr>
      </w:pPr>
      <w:r>
        <w:rPr>
          <w:rFonts w:ascii="Arial" w:hAnsi="Arial"/>
        </w:rPr>
        <w:t xml:space="preserve">All other deposits not subject to custodial credit risk disclosure should be reported in column (E). </w:t>
      </w:r>
    </w:p>
    <w:p w14:paraId="36F33AE6" w14:textId="77777777" w:rsidR="0070458A" w:rsidRDefault="0070458A" w:rsidP="00D774E3">
      <w:pPr>
        <w:jc w:val="both"/>
        <w:rPr>
          <w:rFonts w:ascii="Arial" w:hAnsi="Arial"/>
        </w:rPr>
      </w:pPr>
    </w:p>
    <w:p w14:paraId="2C276964" w14:textId="77777777" w:rsidR="004908D4" w:rsidRDefault="004908D4" w:rsidP="00D774E3">
      <w:pPr>
        <w:jc w:val="both"/>
        <w:rPr>
          <w:rFonts w:ascii="Arial" w:hAnsi="Arial"/>
          <w:b/>
        </w:rPr>
      </w:pPr>
      <w:r w:rsidRPr="00D4119B">
        <w:rPr>
          <w:rFonts w:ascii="Arial" w:hAnsi="Arial"/>
          <w:b/>
        </w:rPr>
        <w:t xml:space="preserve">For each financial institution that maintains deposits of the entity, the Federal Deposit Insurance Corporation (FDIC) </w:t>
      </w:r>
      <w:r w:rsidR="00D95C7D" w:rsidRPr="00D4119B">
        <w:rPr>
          <w:rFonts w:ascii="Arial" w:hAnsi="Arial"/>
          <w:b/>
        </w:rPr>
        <w:t>insures</w:t>
      </w:r>
      <w:r w:rsidRPr="00D4119B">
        <w:rPr>
          <w:rFonts w:ascii="Arial" w:hAnsi="Arial"/>
          <w:b/>
        </w:rPr>
        <w:t xml:space="preserve"> all noninterest</w:t>
      </w:r>
      <w:r w:rsidR="00B65D88" w:rsidRPr="00D4119B">
        <w:rPr>
          <w:rFonts w:ascii="Arial" w:hAnsi="Arial"/>
          <w:b/>
        </w:rPr>
        <w:t xml:space="preserve"> and </w:t>
      </w:r>
      <w:proofErr w:type="gramStart"/>
      <w:r w:rsidR="00B65D88" w:rsidRPr="00D4119B">
        <w:rPr>
          <w:rFonts w:ascii="Arial" w:hAnsi="Arial"/>
          <w:b/>
        </w:rPr>
        <w:t>interest</w:t>
      </w:r>
      <w:r w:rsidRPr="00D4119B">
        <w:rPr>
          <w:rFonts w:ascii="Arial" w:hAnsi="Arial"/>
          <w:b/>
        </w:rPr>
        <w:t xml:space="preserve"> bearing</w:t>
      </w:r>
      <w:proofErr w:type="gramEnd"/>
      <w:r w:rsidRPr="00D4119B">
        <w:rPr>
          <w:rFonts w:ascii="Arial" w:hAnsi="Arial"/>
          <w:b/>
        </w:rPr>
        <w:t xml:space="preserve"> checking accounts</w:t>
      </w:r>
      <w:r w:rsidR="00D95C7D" w:rsidRPr="00D4119B">
        <w:rPr>
          <w:rFonts w:ascii="Arial" w:hAnsi="Arial"/>
          <w:b/>
        </w:rPr>
        <w:t xml:space="preserve"> combined up to $250,000</w:t>
      </w:r>
      <w:r w:rsidRPr="00D4119B">
        <w:rPr>
          <w:rFonts w:ascii="Arial" w:hAnsi="Arial"/>
          <w:b/>
        </w:rPr>
        <w:t>.  For savings accounts and other time deposits combined, FDIC insures them up to $</w:t>
      </w:r>
      <w:r w:rsidR="00600E3F" w:rsidRPr="00D4119B">
        <w:rPr>
          <w:rFonts w:ascii="Arial" w:hAnsi="Arial"/>
          <w:b/>
        </w:rPr>
        <w:t>250</w:t>
      </w:r>
      <w:r w:rsidRPr="00D4119B">
        <w:rPr>
          <w:rFonts w:ascii="Arial" w:hAnsi="Arial"/>
          <w:b/>
        </w:rPr>
        <w:t>,000.</w:t>
      </w:r>
      <w:r>
        <w:rPr>
          <w:rFonts w:ascii="Arial" w:hAnsi="Arial"/>
          <w:b/>
        </w:rPr>
        <w:t xml:space="preserve">  </w:t>
      </w:r>
      <w:r>
        <w:rPr>
          <w:rFonts w:ascii="Arial" w:hAnsi="Arial"/>
        </w:rPr>
        <w:t>When an entity holds deposits in a fiduciary capacity (</w:t>
      </w:r>
      <w:r>
        <w:rPr>
          <w:rFonts w:ascii="Arial" w:hAnsi="Arial"/>
          <w:i/>
        </w:rPr>
        <w:t>examples</w:t>
      </w:r>
      <w:proofErr w:type="gramStart"/>
      <w:r>
        <w:rPr>
          <w:rFonts w:ascii="Arial" w:hAnsi="Arial"/>
          <w:i/>
        </w:rPr>
        <w:t>:</w:t>
      </w:r>
      <w:r>
        <w:rPr>
          <w:rFonts w:ascii="Arial" w:hAnsi="Arial"/>
        </w:rPr>
        <w:t xml:space="preserve">  patient</w:t>
      </w:r>
      <w:proofErr w:type="gramEnd"/>
      <w:r>
        <w:rPr>
          <w:rFonts w:ascii="Arial" w:hAnsi="Arial"/>
        </w:rPr>
        <w:t xml:space="preserve"> personal funds, inmate funds, and Clerk of Court institutional funds), FDIC insures </w:t>
      </w:r>
      <w:proofErr w:type="gramStart"/>
      <w:r>
        <w:rPr>
          <w:rFonts w:ascii="Arial" w:hAnsi="Arial"/>
        </w:rPr>
        <w:t>each individual's</w:t>
      </w:r>
      <w:proofErr w:type="gramEnd"/>
      <w:r>
        <w:rPr>
          <w:rFonts w:ascii="Arial" w:hAnsi="Arial"/>
        </w:rPr>
        <w:t xml:space="preserve"> deposit up to $</w:t>
      </w:r>
      <w:r w:rsidR="00600E3F">
        <w:rPr>
          <w:rFonts w:ascii="Arial" w:hAnsi="Arial"/>
        </w:rPr>
        <w:t>250</w:t>
      </w:r>
      <w:r>
        <w:rPr>
          <w:rFonts w:ascii="Arial" w:hAnsi="Arial"/>
        </w:rPr>
        <w:t xml:space="preserve">,000 if the entity's records can identify those deposits of </w:t>
      </w:r>
      <w:proofErr w:type="gramStart"/>
      <w:r>
        <w:rPr>
          <w:rFonts w:ascii="Arial" w:hAnsi="Arial"/>
        </w:rPr>
        <w:t>each individual</w:t>
      </w:r>
      <w:proofErr w:type="gramEnd"/>
      <w:r>
        <w:rPr>
          <w:rFonts w:ascii="Arial" w:hAnsi="Arial"/>
        </w:rPr>
        <w:t xml:space="preserve">.  Deposits held by an insured institution in a trust department or in some other fiduciary capacity </w:t>
      </w:r>
      <w:r>
        <w:rPr>
          <w:rFonts w:ascii="Arial" w:hAnsi="Arial"/>
          <w:b/>
        </w:rPr>
        <w:t>(such as a fiscal agent)</w:t>
      </w:r>
      <w:r>
        <w:rPr>
          <w:rFonts w:ascii="Arial" w:hAnsi="Arial"/>
        </w:rPr>
        <w:t xml:space="preserve"> will be insured for up to $</w:t>
      </w:r>
      <w:r w:rsidR="00600E3F">
        <w:rPr>
          <w:rFonts w:ascii="Arial" w:hAnsi="Arial"/>
        </w:rPr>
        <w:t>250</w:t>
      </w:r>
      <w:r>
        <w:rPr>
          <w:rFonts w:ascii="Arial" w:hAnsi="Arial"/>
        </w:rPr>
        <w:t xml:space="preserve">,000 for each depositor </w:t>
      </w:r>
      <w:r>
        <w:rPr>
          <w:rFonts w:ascii="Arial" w:hAnsi="Arial"/>
          <w:b/>
        </w:rPr>
        <w:t>and</w:t>
      </w:r>
      <w:r>
        <w:rPr>
          <w:rFonts w:ascii="Arial" w:hAnsi="Arial"/>
        </w:rPr>
        <w:t xml:space="preserve"> </w:t>
      </w:r>
      <w:r>
        <w:rPr>
          <w:rFonts w:ascii="Arial" w:hAnsi="Arial"/>
          <w:u w:val="single"/>
        </w:rPr>
        <w:t>will be insured separately from any other deposits of the depositor at the same institution.</w:t>
      </w:r>
      <w:r>
        <w:rPr>
          <w:rFonts w:ascii="Arial" w:hAnsi="Arial"/>
        </w:rPr>
        <w:t xml:space="preserve">  </w:t>
      </w:r>
      <w:r>
        <w:rPr>
          <w:rFonts w:ascii="Arial" w:hAnsi="Arial"/>
          <w:b/>
        </w:rPr>
        <w:t>(NOTE</w:t>
      </w:r>
      <w:proofErr w:type="gramStart"/>
      <w:r>
        <w:rPr>
          <w:rFonts w:ascii="Arial" w:hAnsi="Arial"/>
          <w:b/>
        </w:rPr>
        <w:t>:  The</w:t>
      </w:r>
      <w:proofErr w:type="gramEnd"/>
      <w:r>
        <w:rPr>
          <w:rFonts w:ascii="Arial" w:hAnsi="Arial"/>
          <w:b/>
        </w:rPr>
        <w:t xml:space="preserve"> FDIC insurance coverage is for deposits per financial institution, not for deposits per account.)</w:t>
      </w:r>
    </w:p>
    <w:p w14:paraId="7F02E103" w14:textId="77777777" w:rsidR="004908D4" w:rsidRDefault="004908D4" w:rsidP="00D774E3">
      <w:pPr>
        <w:jc w:val="both"/>
        <w:rPr>
          <w:rFonts w:ascii="Arial" w:hAnsi="Arial"/>
        </w:rPr>
      </w:pPr>
    </w:p>
    <w:p w14:paraId="2C7F3F6E" w14:textId="77777777" w:rsidR="004908D4" w:rsidRDefault="004908D4" w:rsidP="00D774E3">
      <w:pPr>
        <w:jc w:val="both"/>
        <w:rPr>
          <w:rFonts w:ascii="Arial" w:hAnsi="Arial"/>
          <w:b/>
        </w:rPr>
      </w:pPr>
      <w:r>
        <w:rPr>
          <w:rFonts w:ascii="Arial" w:hAnsi="Arial"/>
          <w:b/>
        </w:rPr>
        <w:t>According to the North Carolina Administrative Code - Title 20, Chapter 7—The only public deposits which can legally be collateralized by financial institutions are those of the State Treasurer, Medical Faculty Practice Plans (MFPP), and Dental Faculty Practice Plans (DFPP).  The deposits of the Clerks of the Superior Courts are required by G.S. 7A-112 to be collateralized by the financial institutions.</w:t>
      </w:r>
    </w:p>
    <w:p w14:paraId="28B124DF" w14:textId="77777777" w:rsidR="004908D4" w:rsidRDefault="004908D4" w:rsidP="00D774E3">
      <w:pPr>
        <w:jc w:val="both"/>
        <w:rPr>
          <w:rFonts w:ascii="Arial" w:hAnsi="Arial"/>
        </w:rPr>
      </w:pPr>
    </w:p>
    <w:p w14:paraId="2EE0448C" w14:textId="77777777" w:rsidR="004908D4" w:rsidRDefault="004908D4" w:rsidP="00D774E3">
      <w:pPr>
        <w:jc w:val="both"/>
        <w:rPr>
          <w:rFonts w:ascii="Arial" w:hAnsi="Arial"/>
        </w:rPr>
      </w:pPr>
      <w:r>
        <w:rPr>
          <w:rFonts w:ascii="Arial" w:hAnsi="Arial"/>
        </w:rPr>
        <w:lastRenderedPageBreak/>
        <w:t>Total the amounts in columns (B), (C), (D), and (E) for each financial institution and show the totals in column (F).  The totals in column (F) should agree to the amounts in column (A).</w:t>
      </w:r>
    </w:p>
    <w:p w14:paraId="6CB277E9" w14:textId="77777777" w:rsidR="00D774E3" w:rsidRDefault="00D774E3" w:rsidP="00D774E3">
      <w:pPr>
        <w:jc w:val="both"/>
        <w:rPr>
          <w:rFonts w:ascii="Arial" w:hAnsi="Arial"/>
        </w:rPr>
      </w:pPr>
    </w:p>
    <w:p w14:paraId="15AF29AC" w14:textId="77777777" w:rsidR="000523AD" w:rsidRPr="003A0302" w:rsidRDefault="000523AD" w:rsidP="00D774E3">
      <w:pPr>
        <w:tabs>
          <w:tab w:val="left" w:pos="576"/>
        </w:tabs>
        <w:jc w:val="both"/>
        <w:rPr>
          <w:rFonts w:ascii="Arial" w:hAnsi="Arial"/>
          <w:b/>
          <w:sz w:val="22"/>
          <w:szCs w:val="22"/>
          <w:u w:val="single"/>
        </w:rPr>
      </w:pPr>
      <w:r w:rsidRPr="003A0302">
        <w:rPr>
          <w:rFonts w:ascii="Arial" w:hAnsi="Arial"/>
          <w:b/>
          <w:sz w:val="22"/>
          <w:szCs w:val="22"/>
          <w:u w:val="single"/>
        </w:rPr>
        <w:t xml:space="preserve">Worksheet </w:t>
      </w:r>
      <w:proofErr w:type="gramStart"/>
      <w:r w:rsidRPr="003A0302">
        <w:rPr>
          <w:rFonts w:ascii="Arial" w:hAnsi="Arial"/>
          <w:b/>
          <w:sz w:val="22"/>
          <w:szCs w:val="22"/>
          <w:u w:val="single"/>
        </w:rPr>
        <w:t>710  —</w:t>
      </w:r>
      <w:proofErr w:type="gramEnd"/>
      <w:r w:rsidRPr="003A0302">
        <w:rPr>
          <w:rFonts w:ascii="Arial" w:hAnsi="Arial"/>
          <w:b/>
          <w:sz w:val="22"/>
          <w:szCs w:val="22"/>
          <w:u w:val="single"/>
        </w:rPr>
        <w:t xml:space="preserve">  Investments Held Outside </w:t>
      </w:r>
      <w:proofErr w:type="gramStart"/>
      <w:r w:rsidRPr="003A0302">
        <w:rPr>
          <w:rFonts w:ascii="Arial" w:hAnsi="Arial"/>
          <w:b/>
          <w:sz w:val="22"/>
          <w:szCs w:val="22"/>
          <w:u w:val="single"/>
        </w:rPr>
        <w:t>The</w:t>
      </w:r>
      <w:proofErr w:type="gramEnd"/>
      <w:r w:rsidRPr="003A0302">
        <w:rPr>
          <w:rFonts w:ascii="Arial" w:hAnsi="Arial"/>
          <w:b/>
          <w:sz w:val="22"/>
          <w:szCs w:val="22"/>
          <w:u w:val="single"/>
        </w:rPr>
        <w:t xml:space="preserve"> State Treasurer—</w:t>
      </w:r>
      <w:r w:rsidR="00B24CB4" w:rsidRPr="003A0302">
        <w:rPr>
          <w:rFonts w:ascii="Arial" w:hAnsi="Arial"/>
          <w:b/>
          <w:sz w:val="22"/>
          <w:szCs w:val="22"/>
          <w:u w:val="single"/>
        </w:rPr>
        <w:t>Custodial Credit Risk - Investments</w:t>
      </w:r>
    </w:p>
    <w:p w14:paraId="0A148DCE" w14:textId="77777777" w:rsidR="00716B45" w:rsidRDefault="00716B45" w:rsidP="00D774E3">
      <w:pPr>
        <w:jc w:val="both"/>
        <w:rPr>
          <w:rFonts w:ascii="Arial" w:hAnsi="Arial"/>
        </w:rPr>
      </w:pPr>
    </w:p>
    <w:p w14:paraId="1D3E516C" w14:textId="5E414C2F" w:rsidR="000523AD" w:rsidRDefault="000523AD" w:rsidP="00D774E3">
      <w:pPr>
        <w:jc w:val="both"/>
        <w:rPr>
          <w:rFonts w:ascii="Arial" w:hAnsi="Arial"/>
        </w:rPr>
      </w:pPr>
      <w:r>
        <w:rPr>
          <w:rFonts w:ascii="Arial" w:hAnsi="Arial"/>
        </w:rPr>
        <w:t xml:space="preserve">For </w:t>
      </w:r>
      <w:r w:rsidR="00D90EE7">
        <w:rPr>
          <w:rFonts w:ascii="Arial" w:hAnsi="Arial"/>
        </w:rPr>
        <w:t>all</w:t>
      </w:r>
      <w:r>
        <w:rPr>
          <w:rFonts w:ascii="Arial" w:hAnsi="Arial"/>
        </w:rPr>
        <w:t xml:space="preserve"> GASB Fund</w:t>
      </w:r>
      <w:r w:rsidR="00D90EE7">
        <w:rPr>
          <w:rFonts w:ascii="Arial" w:hAnsi="Arial"/>
        </w:rPr>
        <w:t>s</w:t>
      </w:r>
      <w:r>
        <w:rPr>
          <w:rFonts w:ascii="Arial" w:hAnsi="Arial"/>
        </w:rPr>
        <w:t xml:space="preserve">, submit one </w:t>
      </w:r>
      <w:r w:rsidR="00D90EE7">
        <w:rPr>
          <w:rFonts w:ascii="Arial" w:hAnsi="Arial"/>
        </w:rPr>
        <w:t>710</w:t>
      </w:r>
      <w:r>
        <w:rPr>
          <w:rFonts w:ascii="Arial" w:hAnsi="Arial"/>
        </w:rPr>
        <w:t xml:space="preserve"> reporting all investments, whether current, noncurrent, or restricted, and including any investments held by a fiscal agent and endowment investments.</w:t>
      </w:r>
    </w:p>
    <w:p w14:paraId="7AC64F1C" w14:textId="77777777" w:rsidR="000523AD" w:rsidRDefault="000523AD" w:rsidP="00D774E3">
      <w:pPr>
        <w:jc w:val="both"/>
        <w:rPr>
          <w:rFonts w:ascii="Arial" w:hAnsi="Arial"/>
        </w:rPr>
      </w:pPr>
    </w:p>
    <w:p w14:paraId="24D5CBD3" w14:textId="50B81C76" w:rsidR="000523AD" w:rsidRDefault="000523AD" w:rsidP="00D774E3">
      <w:pPr>
        <w:jc w:val="both"/>
        <w:rPr>
          <w:rFonts w:ascii="Arial" w:hAnsi="Arial"/>
        </w:rPr>
      </w:pPr>
      <w:r>
        <w:rPr>
          <w:rFonts w:ascii="Arial" w:hAnsi="Arial"/>
        </w:rPr>
        <w:t xml:space="preserve">Insert the </w:t>
      </w:r>
      <w:r>
        <w:rPr>
          <w:rFonts w:ascii="Arial" w:hAnsi="Arial"/>
          <w:b/>
        </w:rPr>
        <w:t>carrying values</w:t>
      </w:r>
      <w:r>
        <w:rPr>
          <w:rFonts w:ascii="Arial" w:hAnsi="Arial"/>
        </w:rPr>
        <w:t xml:space="preserve"> for each type of investment from the appropriate balance sheet account </w:t>
      </w:r>
      <w:r>
        <w:rPr>
          <w:rFonts w:ascii="Arial" w:hAnsi="Arial"/>
          <w:b/>
        </w:rPr>
        <w:t>plus</w:t>
      </w:r>
      <w:r>
        <w:rPr>
          <w:rFonts w:ascii="Arial" w:hAnsi="Arial"/>
        </w:rPr>
        <w:t xml:space="preserve"> the allowance account (</w:t>
      </w:r>
      <w:r w:rsidRPr="009EA386">
        <w:rPr>
          <w:rFonts w:ascii="Arial" w:hAnsi="Arial"/>
        </w:rPr>
        <w:t>112150</w:t>
      </w:r>
      <w:r w:rsidR="16E17FF8" w:rsidRPr="009EA386">
        <w:rPr>
          <w:rFonts w:ascii="Arial" w:hAnsi="Arial"/>
        </w:rPr>
        <w:t>00</w:t>
      </w:r>
      <w:r w:rsidRPr="009EA386">
        <w:rPr>
          <w:rFonts w:ascii="Arial" w:hAnsi="Arial"/>
        </w:rPr>
        <w:t>, 112151</w:t>
      </w:r>
      <w:r w:rsidR="0441ED0D" w:rsidRPr="009EA386">
        <w:rPr>
          <w:rFonts w:ascii="Arial" w:hAnsi="Arial"/>
        </w:rPr>
        <w:t>000</w:t>
      </w:r>
      <w:r w:rsidR="0007357E" w:rsidRPr="009EA386">
        <w:rPr>
          <w:rFonts w:ascii="Arial" w:hAnsi="Arial"/>
        </w:rPr>
        <w:t xml:space="preserve">, </w:t>
      </w:r>
      <w:r w:rsidR="7B4C6633" w:rsidRPr="009EA386">
        <w:rPr>
          <w:rFonts w:ascii="Arial" w:hAnsi="Arial"/>
        </w:rPr>
        <w:t>112152000</w:t>
      </w:r>
      <w:r w:rsidR="0FB0F8F5" w:rsidRPr="009EA386">
        <w:rPr>
          <w:rFonts w:ascii="Arial" w:hAnsi="Arial"/>
        </w:rPr>
        <w:t xml:space="preserve">, </w:t>
      </w:r>
      <w:r w:rsidRPr="009EA386">
        <w:rPr>
          <w:rFonts w:ascii="Arial" w:hAnsi="Arial"/>
        </w:rPr>
        <w:t>122150</w:t>
      </w:r>
      <w:r w:rsidR="5B92020D" w:rsidRPr="009EA386">
        <w:rPr>
          <w:rFonts w:ascii="Arial" w:hAnsi="Arial"/>
        </w:rPr>
        <w:t>00</w:t>
      </w:r>
      <w:r w:rsidRPr="009EA386">
        <w:rPr>
          <w:rFonts w:ascii="Arial" w:hAnsi="Arial"/>
        </w:rPr>
        <w:t>, 122151</w:t>
      </w:r>
      <w:r w:rsidR="0DFE8F9F" w:rsidRPr="009EA386">
        <w:rPr>
          <w:rFonts w:ascii="Arial" w:hAnsi="Arial"/>
        </w:rPr>
        <w:t>00</w:t>
      </w:r>
      <w:r w:rsidRPr="009EA386">
        <w:rPr>
          <w:rFonts w:ascii="Arial" w:hAnsi="Arial"/>
        </w:rPr>
        <w:t>, 122152</w:t>
      </w:r>
      <w:r w:rsidR="443B6FD9" w:rsidRPr="009EA386">
        <w:rPr>
          <w:rFonts w:ascii="Arial" w:hAnsi="Arial"/>
        </w:rPr>
        <w:t>00</w:t>
      </w:r>
      <w:r w:rsidR="0007357E" w:rsidRPr="009EA386">
        <w:rPr>
          <w:rFonts w:ascii="Arial" w:hAnsi="Arial"/>
        </w:rPr>
        <w:t>, 122153</w:t>
      </w:r>
      <w:r w:rsidR="027BC62E" w:rsidRPr="009EA386">
        <w:rPr>
          <w:rFonts w:ascii="Arial" w:hAnsi="Arial"/>
        </w:rPr>
        <w:t>00</w:t>
      </w:r>
      <w:r>
        <w:rPr>
          <w:rFonts w:ascii="Arial" w:hAnsi="Arial"/>
        </w:rPr>
        <w:t xml:space="preserve">) in </w:t>
      </w:r>
      <w:r>
        <w:rPr>
          <w:rFonts w:ascii="Arial" w:hAnsi="Arial"/>
          <w:b/>
        </w:rPr>
        <w:t>column (A)</w:t>
      </w:r>
      <w:r>
        <w:rPr>
          <w:rFonts w:ascii="Arial" w:hAnsi="Arial"/>
        </w:rPr>
        <w:t>.  Generally, most investments will be reported at fair value (cost plus allowance) in accordance with GASB 31</w:t>
      </w:r>
      <w:r w:rsidR="000151D6">
        <w:rPr>
          <w:rFonts w:ascii="Arial" w:hAnsi="Arial"/>
        </w:rPr>
        <w:t>, as amended</w:t>
      </w:r>
      <w:r>
        <w:rPr>
          <w:rFonts w:ascii="Arial" w:hAnsi="Arial"/>
        </w:rPr>
        <w:t>.</w:t>
      </w:r>
      <w:r w:rsidR="00F4215E">
        <w:rPr>
          <w:rFonts w:ascii="Arial" w:hAnsi="Arial"/>
        </w:rPr>
        <w:t xml:space="preserve">  </w:t>
      </w:r>
    </w:p>
    <w:p w14:paraId="38F931CC" w14:textId="77777777" w:rsidR="000523AD" w:rsidRDefault="000523AD" w:rsidP="00D774E3">
      <w:pPr>
        <w:jc w:val="both"/>
        <w:rPr>
          <w:rFonts w:ascii="Arial" w:hAnsi="Arial"/>
        </w:rPr>
      </w:pPr>
    </w:p>
    <w:p w14:paraId="64A27823" w14:textId="0D0ECF8A" w:rsidR="00AF5381" w:rsidRPr="00004DDE" w:rsidRDefault="00AF5381" w:rsidP="00AF5381">
      <w:pPr>
        <w:jc w:val="both"/>
        <w:rPr>
          <w:rFonts w:ascii="Arial" w:hAnsi="Arial"/>
          <w:bCs/>
        </w:rPr>
      </w:pPr>
      <w:r w:rsidRPr="009EA386">
        <w:rPr>
          <w:rFonts w:ascii="Arial" w:hAnsi="Arial"/>
          <w:b/>
        </w:rPr>
        <w:t>For “Other” Investment</w:t>
      </w:r>
      <w:r w:rsidR="00004DDE" w:rsidRPr="009EA386">
        <w:rPr>
          <w:rFonts w:ascii="Arial" w:hAnsi="Arial"/>
          <w:b/>
        </w:rPr>
        <w:t xml:space="preserve"> Types</w:t>
      </w:r>
      <w:r w:rsidRPr="009EA386">
        <w:rPr>
          <w:rFonts w:ascii="Arial" w:hAnsi="Arial"/>
          <w:b/>
        </w:rPr>
        <w:t xml:space="preserve">: </w:t>
      </w:r>
      <w:r w:rsidRPr="00004DDE">
        <w:rPr>
          <w:rFonts w:ascii="Arial" w:hAnsi="Arial"/>
          <w:bCs/>
        </w:rPr>
        <w:t xml:space="preserve">Choose the “other” type investment class from the dropdown boxes provided. Use the dropdown boxes for Other A and Other B for investments that should be categorized, and Other C – F for investments that are not categorized. “Other” investment lines should ONLY be used when there </w:t>
      </w:r>
      <w:proofErr w:type="gramStart"/>
      <w:r w:rsidRPr="00004DDE">
        <w:rPr>
          <w:rFonts w:ascii="Arial" w:hAnsi="Arial"/>
          <w:bCs/>
        </w:rPr>
        <w:t>are</w:t>
      </w:r>
      <w:proofErr w:type="gramEnd"/>
      <w:r w:rsidRPr="00004DDE">
        <w:rPr>
          <w:rFonts w:ascii="Arial" w:hAnsi="Arial"/>
          <w:bCs/>
        </w:rPr>
        <w:t xml:space="preserve"> no investment types already provided on the worksheet. </w:t>
      </w:r>
      <w:r w:rsidR="00004DDE">
        <w:rPr>
          <w:rFonts w:ascii="Arial" w:hAnsi="Arial"/>
          <w:bCs/>
        </w:rPr>
        <w:t>Note</w:t>
      </w:r>
      <w:proofErr w:type="gramStart"/>
      <w:r w:rsidR="00004DDE">
        <w:rPr>
          <w:rFonts w:ascii="Arial" w:hAnsi="Arial"/>
          <w:bCs/>
        </w:rPr>
        <w:t>:  an</w:t>
      </w:r>
      <w:proofErr w:type="gramEnd"/>
      <w:r w:rsidR="00004DDE">
        <w:rPr>
          <w:rFonts w:ascii="Arial" w:hAnsi="Arial"/>
          <w:bCs/>
        </w:rPr>
        <w:t xml:space="preserve"> investment type </w:t>
      </w:r>
      <w:r w:rsidR="007D6E91">
        <w:rPr>
          <w:rFonts w:ascii="Arial" w:hAnsi="Arial"/>
          <w:bCs/>
        </w:rPr>
        <w:t>MUST</w:t>
      </w:r>
      <w:r w:rsidR="00004DDE">
        <w:rPr>
          <w:rFonts w:ascii="Arial" w:hAnsi="Arial"/>
          <w:bCs/>
        </w:rPr>
        <w:t xml:space="preserve"> be selected if an amount is listed on these rows. </w:t>
      </w:r>
      <w:r w:rsidRPr="00004DDE">
        <w:rPr>
          <w:rFonts w:ascii="Arial" w:hAnsi="Arial"/>
          <w:bCs/>
        </w:rPr>
        <w:t>For “Other” investments that should be reported at NAV on Worksheet 755, choose the investment category with ‘_NAV’ in the dropdown box</w:t>
      </w:r>
      <w:r w:rsidR="00004DDE">
        <w:rPr>
          <w:rFonts w:ascii="Arial" w:hAnsi="Arial"/>
          <w:bCs/>
        </w:rPr>
        <w:t xml:space="preserve"> if there are multiple options</w:t>
      </w:r>
      <w:r w:rsidRPr="00004DDE">
        <w:rPr>
          <w:rFonts w:ascii="Arial" w:hAnsi="Arial"/>
          <w:bCs/>
        </w:rPr>
        <w:t xml:space="preserve"> </w:t>
      </w:r>
      <w:r w:rsidR="00004DDE">
        <w:rPr>
          <w:rFonts w:ascii="Arial" w:hAnsi="Arial"/>
          <w:bCs/>
        </w:rPr>
        <w:t xml:space="preserve">for the same investment type </w:t>
      </w:r>
      <w:r w:rsidRPr="00004DDE">
        <w:rPr>
          <w:rFonts w:ascii="Arial" w:hAnsi="Arial"/>
          <w:bCs/>
        </w:rPr>
        <w:t xml:space="preserve">(e.g. Collection and Mineral </w:t>
      </w:r>
      <w:proofErr w:type="spellStart"/>
      <w:r w:rsidRPr="00004DDE">
        <w:rPr>
          <w:rFonts w:ascii="Arial" w:hAnsi="Arial"/>
          <w:bCs/>
        </w:rPr>
        <w:t>Rights_NAV</w:t>
      </w:r>
      <w:proofErr w:type="spellEnd"/>
      <w:r w:rsidRPr="00004DDE">
        <w:rPr>
          <w:rFonts w:ascii="Arial" w:hAnsi="Arial"/>
          <w:bCs/>
        </w:rPr>
        <w:t xml:space="preserve">). For investments that should be reported at Fair Value on Worksheet 755, choose the investment category </w:t>
      </w:r>
      <w:proofErr w:type="gramStart"/>
      <w:r w:rsidRPr="00004DDE">
        <w:rPr>
          <w:rFonts w:ascii="Arial" w:hAnsi="Arial"/>
          <w:bCs/>
        </w:rPr>
        <w:t>with ‘_</w:t>
      </w:r>
      <w:proofErr w:type="gramEnd"/>
      <w:r w:rsidRPr="00004DDE">
        <w:rPr>
          <w:rFonts w:ascii="Arial" w:hAnsi="Arial"/>
          <w:bCs/>
        </w:rPr>
        <w:t xml:space="preserve">FV’ in the dropdown box </w:t>
      </w:r>
      <w:r w:rsidR="00004DDE">
        <w:rPr>
          <w:rFonts w:ascii="Arial" w:hAnsi="Arial"/>
          <w:bCs/>
        </w:rPr>
        <w:t xml:space="preserve">if there are multiple options for the same investment type </w:t>
      </w:r>
      <w:r w:rsidRPr="00004DDE">
        <w:rPr>
          <w:rFonts w:ascii="Arial" w:hAnsi="Arial"/>
          <w:bCs/>
        </w:rPr>
        <w:t xml:space="preserve">(e.g. Collection and Mineral </w:t>
      </w:r>
      <w:proofErr w:type="spellStart"/>
      <w:r w:rsidRPr="00004DDE">
        <w:rPr>
          <w:rFonts w:ascii="Arial" w:hAnsi="Arial"/>
          <w:bCs/>
        </w:rPr>
        <w:t>Rights_FV</w:t>
      </w:r>
      <w:proofErr w:type="spellEnd"/>
      <w:r w:rsidRPr="00004DDE">
        <w:rPr>
          <w:rFonts w:ascii="Arial" w:hAnsi="Arial"/>
          <w:bCs/>
        </w:rPr>
        <w:t>). If you have an “Other” investment that is not a choice in the dropdown box, please contact your OSC Analyst.</w:t>
      </w:r>
    </w:p>
    <w:p w14:paraId="3C4A2B7A" w14:textId="77777777" w:rsidR="00C135FE" w:rsidRDefault="00C135FE" w:rsidP="00D774E3">
      <w:pPr>
        <w:jc w:val="both"/>
        <w:rPr>
          <w:rFonts w:ascii="Arial" w:hAnsi="Arial"/>
        </w:rPr>
      </w:pPr>
    </w:p>
    <w:p w14:paraId="4AF83846" w14:textId="4DA9A785" w:rsidR="000523AD" w:rsidRDefault="000523AD" w:rsidP="00D774E3">
      <w:pPr>
        <w:jc w:val="both"/>
        <w:rPr>
          <w:rFonts w:ascii="Arial" w:hAnsi="Arial"/>
          <w:b/>
        </w:rPr>
      </w:pPr>
      <w:r>
        <w:rPr>
          <w:rFonts w:ascii="Arial" w:hAnsi="Arial"/>
        </w:rPr>
        <w:t xml:space="preserve">The total investments reported on </w:t>
      </w:r>
      <w:r w:rsidR="00D774E3">
        <w:rPr>
          <w:rFonts w:ascii="Arial" w:hAnsi="Arial"/>
        </w:rPr>
        <w:t>710</w:t>
      </w:r>
      <w:r>
        <w:rPr>
          <w:rFonts w:ascii="Arial" w:hAnsi="Arial"/>
        </w:rPr>
        <w:t xml:space="preserve"> </w:t>
      </w:r>
      <w:r>
        <w:rPr>
          <w:rFonts w:ascii="Arial" w:hAnsi="Arial"/>
          <w:u w:val="single"/>
        </w:rPr>
        <w:t>must agree</w:t>
      </w:r>
      <w:r>
        <w:rPr>
          <w:rFonts w:ascii="Arial" w:hAnsi="Arial"/>
        </w:rPr>
        <w:t xml:space="preserve"> to all investments reported on the </w:t>
      </w:r>
      <w:r w:rsidR="4810745B" w:rsidRPr="2B835493">
        <w:rPr>
          <w:rFonts w:ascii="Arial" w:hAnsi="Arial"/>
        </w:rPr>
        <w:t>NCFS</w:t>
      </w:r>
      <w:r>
        <w:rPr>
          <w:rFonts w:ascii="Arial" w:hAnsi="Arial"/>
        </w:rPr>
        <w:t xml:space="preserve"> Balance Sheet/Statement of </w:t>
      </w:r>
      <w:r w:rsidR="00B33DA2">
        <w:rPr>
          <w:rFonts w:ascii="Arial" w:hAnsi="Arial"/>
        </w:rPr>
        <w:t>Net Position</w:t>
      </w:r>
      <w:r>
        <w:rPr>
          <w:rFonts w:ascii="Arial" w:hAnsi="Arial"/>
        </w:rPr>
        <w:t>.</w:t>
      </w:r>
      <w:r w:rsidR="002679F2">
        <w:rPr>
          <w:rFonts w:ascii="Arial" w:hAnsi="Arial"/>
        </w:rPr>
        <w:t xml:space="preserve">  </w:t>
      </w:r>
      <w:r w:rsidR="00E25C7B">
        <w:rPr>
          <w:rFonts w:ascii="Arial" w:hAnsi="Arial"/>
          <w:b/>
        </w:rPr>
        <w:t>Exception for Universities</w:t>
      </w:r>
      <w:proofErr w:type="gramStart"/>
      <w:r w:rsidR="00E25C7B">
        <w:rPr>
          <w:rFonts w:ascii="Arial" w:hAnsi="Arial"/>
          <w:b/>
        </w:rPr>
        <w:t>:  Any</w:t>
      </w:r>
      <w:proofErr w:type="gramEnd"/>
      <w:r w:rsidR="00E25C7B">
        <w:rPr>
          <w:rFonts w:ascii="Arial" w:hAnsi="Arial"/>
          <w:b/>
        </w:rPr>
        <w:t xml:space="preserve"> differences must be equal to GASB 39 foundation investments</w:t>
      </w:r>
      <w:r w:rsidR="00493599" w:rsidRPr="009EA386">
        <w:rPr>
          <w:rFonts w:ascii="Arial" w:hAnsi="Arial"/>
          <w:b/>
        </w:rPr>
        <w:t xml:space="preserve"> and/or External investment pools. </w:t>
      </w:r>
      <w:r w:rsidR="00493599" w:rsidRPr="009EA386">
        <w:rPr>
          <w:rFonts w:ascii="Arial" w:hAnsi="Arial"/>
        </w:rPr>
        <w:t xml:space="preserve">If the university operates an external investment pool, all investments of this pool will be reported on the 710 </w:t>
      </w:r>
      <w:proofErr w:type="gramStart"/>
      <w:r w:rsidR="00493599" w:rsidRPr="009EA386">
        <w:rPr>
          <w:rFonts w:ascii="Arial" w:hAnsi="Arial"/>
        </w:rPr>
        <w:t>worksheet</w:t>
      </w:r>
      <w:proofErr w:type="gramEnd"/>
      <w:r w:rsidR="00493599" w:rsidRPr="009EA386">
        <w:rPr>
          <w:rFonts w:ascii="Arial" w:hAnsi="Arial"/>
        </w:rPr>
        <w:t xml:space="preserve">; however, the external portion of this investment pool will not be reported in the </w:t>
      </w:r>
      <w:proofErr w:type="gramStart"/>
      <w:r w:rsidR="00493599" w:rsidRPr="009EA386">
        <w:rPr>
          <w:rFonts w:ascii="Arial" w:hAnsi="Arial"/>
        </w:rPr>
        <w:t>universities</w:t>
      </w:r>
      <w:proofErr w:type="gramEnd"/>
      <w:r w:rsidR="00493599" w:rsidRPr="009EA386">
        <w:rPr>
          <w:rFonts w:ascii="Arial" w:hAnsi="Arial"/>
        </w:rPr>
        <w:t xml:space="preserve"> financial statements on the 905 </w:t>
      </w:r>
      <w:proofErr w:type="gramStart"/>
      <w:r w:rsidR="00493599" w:rsidRPr="009EA386">
        <w:rPr>
          <w:rFonts w:ascii="Arial" w:hAnsi="Arial"/>
        </w:rPr>
        <w:t>worksheet</w:t>
      </w:r>
      <w:proofErr w:type="gramEnd"/>
      <w:r w:rsidR="00493599" w:rsidRPr="009EA386">
        <w:rPr>
          <w:rFonts w:ascii="Arial" w:hAnsi="Arial"/>
        </w:rPr>
        <w:t xml:space="preserve">. These investments will be reported in a fiduciary fund (investment trust fund or custodial fund) of the university. For fiduciary funds, other than the external portion of external investment pools, the investments will not be reported on the </w:t>
      </w:r>
      <w:proofErr w:type="gramStart"/>
      <w:r w:rsidR="00493599" w:rsidRPr="009EA386">
        <w:rPr>
          <w:rFonts w:ascii="Arial" w:hAnsi="Arial"/>
        </w:rPr>
        <w:t xml:space="preserve">710 </w:t>
      </w:r>
      <w:r w:rsidR="0033038E" w:rsidRPr="009EA386">
        <w:rPr>
          <w:rFonts w:ascii="Arial" w:hAnsi="Arial"/>
        </w:rPr>
        <w:t>package</w:t>
      </w:r>
      <w:proofErr w:type="gramEnd"/>
      <w:r w:rsidR="0033038E" w:rsidRPr="009EA386">
        <w:rPr>
          <w:rFonts w:ascii="Arial" w:hAnsi="Arial"/>
        </w:rPr>
        <w:t xml:space="preserve"> </w:t>
      </w:r>
      <w:r w:rsidR="00493599" w:rsidRPr="009EA386">
        <w:rPr>
          <w:rFonts w:ascii="Arial" w:hAnsi="Arial"/>
        </w:rPr>
        <w:t>worksheet and should equal the 905</w:t>
      </w:r>
      <w:r w:rsidR="002626AB" w:rsidRPr="00004DDE">
        <w:rPr>
          <w:rFonts w:ascii="Arial" w:hAnsi="Arial"/>
          <w:bCs/>
        </w:rPr>
        <w:t>.</w:t>
      </w:r>
    </w:p>
    <w:p w14:paraId="2D7D5C7E" w14:textId="3D521E9F" w:rsidR="00C81D9A" w:rsidRDefault="00C81D9A" w:rsidP="00D774E3">
      <w:pPr>
        <w:jc w:val="both"/>
        <w:rPr>
          <w:rFonts w:ascii="Arial" w:hAnsi="Arial"/>
          <w:b/>
        </w:rPr>
      </w:pPr>
    </w:p>
    <w:p w14:paraId="5097F1A6" w14:textId="77777777" w:rsidR="000523AD" w:rsidRDefault="000523AD" w:rsidP="00D774E3">
      <w:pPr>
        <w:jc w:val="both"/>
        <w:rPr>
          <w:rFonts w:ascii="Arial" w:hAnsi="Arial"/>
        </w:rPr>
      </w:pPr>
      <w:r>
        <w:rPr>
          <w:rFonts w:ascii="Arial" w:hAnsi="Arial"/>
        </w:rPr>
        <w:t xml:space="preserve">For the investments, categorize the </w:t>
      </w:r>
      <w:r>
        <w:rPr>
          <w:rFonts w:ascii="Arial" w:hAnsi="Arial"/>
          <w:b/>
        </w:rPr>
        <w:t>Level of Risk</w:t>
      </w:r>
      <w:r>
        <w:rPr>
          <w:rFonts w:ascii="Arial" w:hAnsi="Arial"/>
        </w:rPr>
        <w:t xml:space="preserve"> for each investment’s carrying value in </w:t>
      </w:r>
      <w:r>
        <w:rPr>
          <w:rFonts w:ascii="Arial" w:hAnsi="Arial"/>
          <w:b/>
        </w:rPr>
        <w:t>columns (B), (C), and (D)</w:t>
      </w:r>
      <w:r>
        <w:rPr>
          <w:rFonts w:ascii="Arial" w:hAnsi="Arial"/>
        </w:rPr>
        <w:t>.</w:t>
      </w:r>
    </w:p>
    <w:p w14:paraId="701E5E85" w14:textId="77777777" w:rsidR="00FE573B" w:rsidRDefault="00FE573B" w:rsidP="00D774E3">
      <w:pPr>
        <w:jc w:val="both"/>
        <w:rPr>
          <w:rFonts w:ascii="Arial" w:hAnsi="Arial"/>
        </w:rPr>
      </w:pPr>
    </w:p>
    <w:p w14:paraId="581CFFC3" w14:textId="0FA3A804" w:rsidR="00FE573B" w:rsidRPr="00F52F85" w:rsidRDefault="00FE573B" w:rsidP="00D774E3">
      <w:pPr>
        <w:jc w:val="both"/>
        <w:rPr>
          <w:rFonts w:ascii="Arial" w:hAnsi="Arial"/>
          <w:b/>
        </w:rPr>
      </w:pPr>
      <w:r w:rsidRPr="002C2833">
        <w:rPr>
          <w:rFonts w:ascii="Arial" w:hAnsi="Arial"/>
          <w:b/>
          <w:highlight w:val="yellow"/>
        </w:rPr>
        <w:t xml:space="preserve">For Universities, </w:t>
      </w:r>
      <w:r w:rsidR="00B65D88" w:rsidRPr="002C2833">
        <w:rPr>
          <w:rFonts w:ascii="Arial" w:hAnsi="Arial"/>
          <w:b/>
          <w:highlight w:val="yellow"/>
        </w:rPr>
        <w:t xml:space="preserve">the amount in the UNC Investment Fund investment type should be </w:t>
      </w:r>
      <w:r w:rsidRPr="002C2833">
        <w:rPr>
          <w:rFonts w:ascii="Arial" w:hAnsi="Arial"/>
          <w:b/>
          <w:highlight w:val="yellow"/>
        </w:rPr>
        <w:t xml:space="preserve">the </w:t>
      </w:r>
      <w:r w:rsidR="006F7F7E" w:rsidRPr="002C2833">
        <w:rPr>
          <w:rFonts w:ascii="Arial" w:hAnsi="Arial"/>
          <w:b/>
          <w:highlight w:val="yellow"/>
        </w:rPr>
        <w:t xml:space="preserve">amount in the </w:t>
      </w:r>
      <w:r w:rsidRPr="002C2833">
        <w:rPr>
          <w:rFonts w:ascii="Arial" w:hAnsi="Arial"/>
          <w:b/>
          <w:highlight w:val="yellow"/>
        </w:rPr>
        <w:t xml:space="preserve">“other” </w:t>
      </w:r>
      <w:r w:rsidR="006F7F7E" w:rsidRPr="002C2833">
        <w:rPr>
          <w:rFonts w:ascii="Arial" w:hAnsi="Arial"/>
          <w:b/>
          <w:highlight w:val="yellow"/>
        </w:rPr>
        <w:t>column</w:t>
      </w:r>
      <w:r w:rsidRPr="002C2833">
        <w:rPr>
          <w:rFonts w:ascii="Arial" w:hAnsi="Arial"/>
          <w:b/>
          <w:highlight w:val="yellow"/>
        </w:rPr>
        <w:t xml:space="preserve"> on the UNC Investment Fund confirmation.  This is the “gross asset” amount, excluding the payable.</w:t>
      </w:r>
      <w:r w:rsidR="00FE318D" w:rsidRPr="002C2833">
        <w:rPr>
          <w:rFonts w:ascii="Arial" w:hAnsi="Arial"/>
          <w:b/>
          <w:highlight w:val="yellow"/>
        </w:rPr>
        <w:t xml:space="preserve">  Do not use the “Net Asset” column; th</w:t>
      </w:r>
      <w:r w:rsidR="00B430E5" w:rsidRPr="002C2833">
        <w:rPr>
          <w:rFonts w:ascii="Arial" w:hAnsi="Arial"/>
          <w:b/>
          <w:highlight w:val="yellow"/>
        </w:rPr>
        <w:t>is</w:t>
      </w:r>
      <w:r w:rsidR="00FE318D" w:rsidRPr="002C2833">
        <w:rPr>
          <w:rFonts w:ascii="Arial" w:hAnsi="Arial"/>
          <w:b/>
          <w:highlight w:val="yellow"/>
        </w:rPr>
        <w:t xml:space="preserve"> is the net amount.</w:t>
      </w:r>
      <w:r w:rsidR="00FE318D">
        <w:rPr>
          <w:rFonts w:ascii="Arial" w:hAnsi="Arial"/>
          <w:b/>
        </w:rPr>
        <w:t xml:space="preserve"> </w:t>
      </w:r>
    </w:p>
    <w:p w14:paraId="6B8CC7F6" w14:textId="77777777" w:rsidR="000523AD" w:rsidRDefault="000523AD" w:rsidP="00D774E3">
      <w:pPr>
        <w:rPr>
          <w:rFonts w:ascii="Arial" w:hAnsi="Arial" w:cs="Arial"/>
        </w:rPr>
      </w:pPr>
    </w:p>
    <w:p w14:paraId="12E00655" w14:textId="77777777" w:rsidR="00D4136B" w:rsidRDefault="00D4136B" w:rsidP="00D4136B">
      <w:pPr>
        <w:spacing w:line="216" w:lineRule="atLeast"/>
        <w:ind w:left="720"/>
        <w:jc w:val="center"/>
        <w:outlineLvl w:val="0"/>
        <w:rPr>
          <w:rFonts w:ascii="Arial" w:hAnsi="Arial"/>
          <w:u w:val="single"/>
        </w:rPr>
      </w:pPr>
      <w:r w:rsidRPr="2B835493">
        <w:rPr>
          <w:rFonts w:ascii="Arial" w:hAnsi="Arial"/>
          <w:b/>
          <w:sz w:val="22"/>
          <w:szCs w:val="22"/>
        </w:rPr>
        <w:t>Levels of Risk</w:t>
      </w:r>
    </w:p>
    <w:p w14:paraId="188794F5" w14:textId="6D8116D4" w:rsidR="2B835493" w:rsidRDefault="2B835493" w:rsidP="2B835493">
      <w:pPr>
        <w:jc w:val="both"/>
        <w:rPr>
          <w:rFonts w:ascii="Arial" w:hAnsi="Arial" w:cs="Arial"/>
        </w:rPr>
      </w:pPr>
    </w:p>
    <w:p w14:paraId="375F95F7" w14:textId="77777777" w:rsidR="00D4136B" w:rsidRPr="00380628" w:rsidRDefault="00D4136B" w:rsidP="00380628">
      <w:pPr>
        <w:jc w:val="both"/>
        <w:rPr>
          <w:rFonts w:ascii="Arial" w:hAnsi="Arial" w:cs="Arial"/>
        </w:rPr>
      </w:pPr>
      <w:r w:rsidRPr="00380628">
        <w:rPr>
          <w:rFonts w:ascii="Arial" w:hAnsi="Arial" w:cs="Arial"/>
        </w:rPr>
        <w:t>Investments subject to custodial credit risk should be disclosed.  Investment securities are exposed to custodial credit risk if the securities are uninsured, are not registered in the name of the government, and are held by either:</w:t>
      </w:r>
    </w:p>
    <w:p w14:paraId="6908E936" w14:textId="77777777" w:rsidR="00D4136B" w:rsidRPr="00380628" w:rsidRDefault="00D4136B" w:rsidP="00380628">
      <w:pPr>
        <w:numPr>
          <w:ilvl w:val="0"/>
          <w:numId w:val="19"/>
        </w:numPr>
        <w:tabs>
          <w:tab w:val="left" w:pos="432"/>
        </w:tabs>
        <w:jc w:val="both"/>
        <w:rPr>
          <w:rFonts w:ascii="Arial" w:hAnsi="Arial" w:cs="Arial"/>
        </w:rPr>
      </w:pPr>
      <w:r w:rsidRPr="00380628">
        <w:rPr>
          <w:rFonts w:ascii="Arial" w:hAnsi="Arial" w:cs="Arial"/>
        </w:rPr>
        <w:t>The counterparty or</w:t>
      </w:r>
    </w:p>
    <w:p w14:paraId="15E7BD92" w14:textId="77777777" w:rsidR="00D4136B" w:rsidRDefault="00D4136B" w:rsidP="00380628">
      <w:pPr>
        <w:numPr>
          <w:ilvl w:val="0"/>
          <w:numId w:val="19"/>
        </w:numPr>
        <w:tabs>
          <w:tab w:val="left" w:pos="432"/>
        </w:tabs>
        <w:jc w:val="both"/>
        <w:rPr>
          <w:rFonts w:ascii="Arial" w:hAnsi="Arial" w:cs="Arial"/>
        </w:rPr>
      </w:pPr>
      <w:r w:rsidRPr="00380628">
        <w:rPr>
          <w:rFonts w:ascii="Arial" w:hAnsi="Arial" w:cs="Arial"/>
        </w:rPr>
        <w:t>The counterparty’s trust department or agent but not in the government’s name.</w:t>
      </w:r>
    </w:p>
    <w:p w14:paraId="766054AA" w14:textId="77777777" w:rsidR="00380628" w:rsidRDefault="00380628" w:rsidP="00380628">
      <w:pPr>
        <w:tabs>
          <w:tab w:val="left" w:pos="432"/>
        </w:tabs>
        <w:jc w:val="both"/>
        <w:rPr>
          <w:rFonts w:ascii="Arial" w:hAnsi="Arial" w:cs="Arial"/>
        </w:rPr>
      </w:pPr>
    </w:p>
    <w:p w14:paraId="689CFAA9" w14:textId="77777777" w:rsidR="00380628" w:rsidRDefault="00380628" w:rsidP="00380628">
      <w:pPr>
        <w:tabs>
          <w:tab w:val="left" w:pos="432"/>
        </w:tabs>
        <w:jc w:val="both"/>
        <w:rPr>
          <w:rFonts w:ascii="Arial" w:hAnsi="Arial" w:cs="Arial"/>
        </w:rPr>
      </w:pPr>
      <w:r w:rsidRPr="00380628">
        <w:rPr>
          <w:rFonts w:ascii="Arial" w:hAnsi="Arial" w:cs="Arial"/>
        </w:rPr>
        <w:t>Investments in external investment pools and in open-</w:t>
      </w:r>
      <w:proofErr w:type="gramStart"/>
      <w:r w:rsidRPr="00380628">
        <w:rPr>
          <w:rFonts w:ascii="Arial" w:hAnsi="Arial" w:cs="Arial"/>
        </w:rPr>
        <w:t>end</w:t>
      </w:r>
      <w:proofErr w:type="gramEnd"/>
      <w:r w:rsidRPr="00380628">
        <w:rPr>
          <w:rFonts w:ascii="Arial" w:hAnsi="Arial" w:cs="Arial"/>
        </w:rPr>
        <w:t xml:space="preserve"> mutual funds are not exposed to custodial credit risk because their existence is not evidenced by securities that exist in physical or book entry form. Securities underlying reverse repurchase agreements are not exposed to custodial credit risk because they are held by the buyer-lender.  The term securities include securities underlying repurchase agreements and investment securities.</w:t>
      </w:r>
    </w:p>
    <w:p w14:paraId="69491DCD" w14:textId="77777777" w:rsidR="00E51D24" w:rsidRDefault="00E51D24" w:rsidP="00380628">
      <w:pPr>
        <w:tabs>
          <w:tab w:val="left" w:pos="432"/>
        </w:tabs>
        <w:jc w:val="both"/>
        <w:rPr>
          <w:rFonts w:ascii="Arial" w:hAnsi="Arial" w:cs="Arial"/>
        </w:rPr>
      </w:pPr>
    </w:p>
    <w:p w14:paraId="35093DB4" w14:textId="77777777" w:rsidR="00E51D24" w:rsidRPr="00142CC0" w:rsidRDefault="00E51D24" w:rsidP="00E51D24">
      <w:pPr>
        <w:jc w:val="both"/>
        <w:rPr>
          <w:rFonts w:ascii="Arial" w:hAnsi="Arial"/>
        </w:rPr>
      </w:pPr>
      <w:r>
        <w:rPr>
          <w:rFonts w:ascii="Arial" w:hAnsi="Arial"/>
        </w:rPr>
        <w:t xml:space="preserve">All other investments not subject to custodial credit risk disclosure should be reported in column (D).  </w:t>
      </w:r>
    </w:p>
    <w:p w14:paraId="3E910260" w14:textId="77777777" w:rsidR="0079448E" w:rsidRDefault="0079448E" w:rsidP="00380628">
      <w:pPr>
        <w:tabs>
          <w:tab w:val="left" w:pos="432"/>
        </w:tabs>
        <w:jc w:val="both"/>
        <w:rPr>
          <w:rFonts w:ascii="Arial" w:hAnsi="Arial" w:cs="Arial"/>
        </w:rPr>
      </w:pPr>
    </w:p>
    <w:p w14:paraId="5C14EA80" w14:textId="77777777" w:rsidR="003133E7" w:rsidRPr="003A0302" w:rsidRDefault="003133E7" w:rsidP="003133E7">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 xml:space="preserve">Worksheet </w:t>
      </w:r>
      <w:proofErr w:type="gramStart"/>
      <w:r w:rsidRPr="003A0302">
        <w:rPr>
          <w:rFonts w:ascii="Arial" w:hAnsi="Arial"/>
          <w:b/>
          <w:sz w:val="22"/>
          <w:szCs w:val="22"/>
          <w:u w:val="single"/>
        </w:rPr>
        <w:t>715  —</w:t>
      </w:r>
      <w:proofErr w:type="gramEnd"/>
      <w:r w:rsidRPr="003A0302">
        <w:rPr>
          <w:rFonts w:ascii="Arial" w:hAnsi="Arial"/>
          <w:b/>
          <w:sz w:val="22"/>
          <w:szCs w:val="22"/>
          <w:u w:val="single"/>
        </w:rPr>
        <w:t xml:space="preserve">  Investments Held Outside </w:t>
      </w:r>
      <w:proofErr w:type="gramStart"/>
      <w:r w:rsidRPr="003A0302">
        <w:rPr>
          <w:rFonts w:ascii="Arial" w:hAnsi="Arial"/>
          <w:b/>
          <w:sz w:val="22"/>
          <w:szCs w:val="22"/>
          <w:u w:val="single"/>
        </w:rPr>
        <w:t>The</w:t>
      </w:r>
      <w:proofErr w:type="gramEnd"/>
      <w:r w:rsidRPr="003A0302">
        <w:rPr>
          <w:rFonts w:ascii="Arial" w:hAnsi="Arial"/>
          <w:b/>
          <w:sz w:val="22"/>
          <w:szCs w:val="22"/>
          <w:u w:val="single"/>
        </w:rPr>
        <w:t xml:space="preserve"> State Treasurer—Custodial Credit Risk - Deposits</w:t>
      </w:r>
    </w:p>
    <w:p w14:paraId="2975113C" w14:textId="77777777" w:rsidR="003133E7" w:rsidRDefault="003133E7" w:rsidP="003133E7">
      <w:pPr>
        <w:jc w:val="both"/>
        <w:rPr>
          <w:rFonts w:ascii="Arial" w:hAnsi="Arial"/>
        </w:rPr>
      </w:pPr>
    </w:p>
    <w:p w14:paraId="0B22F162" w14:textId="77777777" w:rsidR="003133E7" w:rsidRDefault="003133E7" w:rsidP="003133E7">
      <w:pPr>
        <w:jc w:val="both"/>
        <w:rPr>
          <w:rFonts w:ascii="Arial" w:hAnsi="Arial"/>
        </w:rPr>
      </w:pPr>
      <w:r>
        <w:rPr>
          <w:rFonts w:ascii="Arial" w:hAnsi="Arial"/>
        </w:rPr>
        <w:t>List each financial institution and the respective unreconciled bank bala</w:t>
      </w:r>
      <w:r w:rsidR="009D4EEF">
        <w:rPr>
          <w:rFonts w:ascii="Arial" w:hAnsi="Arial"/>
        </w:rPr>
        <w:t>nce for certificates of deposit</w:t>
      </w:r>
      <w:r>
        <w:rPr>
          <w:rFonts w:ascii="Arial" w:hAnsi="Arial"/>
        </w:rPr>
        <w:t xml:space="preserve"> and bank investment contracts for the total of all GASB funds in </w:t>
      </w:r>
      <w:r>
        <w:rPr>
          <w:rFonts w:ascii="Arial" w:hAnsi="Arial"/>
          <w:b/>
        </w:rPr>
        <w:t>column (A)</w:t>
      </w:r>
      <w:r>
        <w:rPr>
          <w:rFonts w:ascii="Arial" w:hAnsi="Arial"/>
        </w:rPr>
        <w:t>.</w:t>
      </w:r>
    </w:p>
    <w:p w14:paraId="5692F41F" w14:textId="77777777" w:rsidR="003133E7" w:rsidRDefault="003133E7" w:rsidP="003133E7">
      <w:pPr>
        <w:tabs>
          <w:tab w:val="left" w:pos="576"/>
        </w:tabs>
        <w:jc w:val="both"/>
        <w:rPr>
          <w:rFonts w:ascii="Arial" w:hAnsi="Arial"/>
        </w:rPr>
      </w:pPr>
    </w:p>
    <w:p w14:paraId="5EAC39F4" w14:textId="77777777" w:rsidR="003133E7" w:rsidRDefault="003133E7" w:rsidP="003133E7">
      <w:pPr>
        <w:jc w:val="both"/>
        <w:rPr>
          <w:rFonts w:ascii="Arial" w:hAnsi="Arial"/>
        </w:rPr>
      </w:pPr>
      <w:r>
        <w:rPr>
          <w:rFonts w:ascii="Arial" w:hAnsi="Arial"/>
        </w:rPr>
        <w:t xml:space="preserve">Deposits subject to custodial credit risk should be disclosed.  Deposits are exposed to custodial credit risk if they are not covered by depository insurance and the deposits are </w:t>
      </w:r>
    </w:p>
    <w:p w14:paraId="103826AD" w14:textId="77777777" w:rsidR="003133E7" w:rsidRDefault="003133E7" w:rsidP="003133E7">
      <w:pPr>
        <w:jc w:val="both"/>
        <w:rPr>
          <w:rFonts w:ascii="Arial" w:hAnsi="Arial"/>
        </w:rPr>
      </w:pPr>
    </w:p>
    <w:p w14:paraId="553076F0" w14:textId="77777777" w:rsidR="003133E7" w:rsidRPr="00142CC0" w:rsidRDefault="003133E7" w:rsidP="003133E7">
      <w:pPr>
        <w:numPr>
          <w:ilvl w:val="0"/>
          <w:numId w:val="17"/>
        </w:numPr>
        <w:tabs>
          <w:tab w:val="clear" w:pos="720"/>
          <w:tab w:val="left" w:pos="432"/>
        </w:tabs>
        <w:ind w:left="450" w:hanging="450"/>
        <w:jc w:val="both"/>
        <w:rPr>
          <w:rFonts w:ascii="Arial" w:hAnsi="Arial"/>
        </w:rPr>
      </w:pPr>
      <w:r w:rsidRPr="00142CC0">
        <w:rPr>
          <w:rFonts w:ascii="Arial" w:hAnsi="Arial"/>
        </w:rPr>
        <w:t>Uncollateralized</w:t>
      </w:r>
      <w:r>
        <w:rPr>
          <w:rFonts w:ascii="Arial" w:hAnsi="Arial"/>
        </w:rPr>
        <w:t xml:space="preserve"> (an uncollateralized deposit does not have securities pledged to the depositor-government, column B),</w:t>
      </w:r>
    </w:p>
    <w:p w14:paraId="3F4FC8F4" w14:textId="77777777" w:rsidR="003133E7" w:rsidRPr="00142CC0" w:rsidRDefault="003133E7" w:rsidP="003133E7">
      <w:pPr>
        <w:numPr>
          <w:ilvl w:val="0"/>
          <w:numId w:val="17"/>
        </w:numPr>
        <w:tabs>
          <w:tab w:val="left" w:pos="432"/>
        </w:tabs>
        <w:jc w:val="both"/>
        <w:rPr>
          <w:rFonts w:ascii="Arial" w:hAnsi="Arial"/>
        </w:rPr>
      </w:pPr>
      <w:r w:rsidRPr="00142CC0">
        <w:rPr>
          <w:rFonts w:ascii="Arial" w:hAnsi="Arial"/>
        </w:rPr>
        <w:t>Collateralized with securities held by the pledging financial institution</w:t>
      </w:r>
      <w:r>
        <w:rPr>
          <w:rFonts w:ascii="Arial" w:hAnsi="Arial"/>
        </w:rPr>
        <w:t xml:space="preserve"> (column C)</w:t>
      </w:r>
      <w:r w:rsidRPr="00142CC0">
        <w:rPr>
          <w:rFonts w:ascii="Arial" w:hAnsi="Arial"/>
        </w:rPr>
        <w:t>, or</w:t>
      </w:r>
    </w:p>
    <w:p w14:paraId="72DD0477" w14:textId="77777777" w:rsidR="003133E7" w:rsidRPr="00142CC0" w:rsidRDefault="003133E7" w:rsidP="003133E7">
      <w:pPr>
        <w:numPr>
          <w:ilvl w:val="0"/>
          <w:numId w:val="17"/>
        </w:numPr>
        <w:tabs>
          <w:tab w:val="clear" w:pos="720"/>
          <w:tab w:val="left" w:pos="432"/>
        </w:tabs>
        <w:ind w:left="450" w:hanging="450"/>
        <w:jc w:val="both"/>
        <w:rPr>
          <w:rFonts w:ascii="Arial" w:hAnsi="Arial"/>
        </w:rPr>
      </w:pPr>
      <w:r w:rsidRPr="00142CC0">
        <w:rPr>
          <w:rFonts w:ascii="Arial" w:hAnsi="Arial"/>
        </w:rPr>
        <w:t>Collateralized with securities held by the pledging financial institution’s trust department or agent but not in the depositor-government’s name</w:t>
      </w:r>
      <w:r>
        <w:rPr>
          <w:rFonts w:ascii="Arial" w:hAnsi="Arial"/>
        </w:rPr>
        <w:t xml:space="preserve"> (column D)</w:t>
      </w:r>
      <w:r w:rsidRPr="00142CC0">
        <w:rPr>
          <w:rFonts w:ascii="Arial" w:hAnsi="Arial"/>
        </w:rPr>
        <w:t>.</w:t>
      </w:r>
    </w:p>
    <w:p w14:paraId="2401428B" w14:textId="77777777" w:rsidR="003133E7" w:rsidRDefault="003133E7" w:rsidP="003133E7">
      <w:pPr>
        <w:jc w:val="both"/>
        <w:rPr>
          <w:rFonts w:ascii="Arial" w:hAnsi="Arial"/>
        </w:rPr>
      </w:pPr>
    </w:p>
    <w:p w14:paraId="5F6284F8" w14:textId="77777777" w:rsidR="003133E7" w:rsidRPr="00142CC0" w:rsidRDefault="003133E7" w:rsidP="003133E7">
      <w:pPr>
        <w:jc w:val="both"/>
        <w:rPr>
          <w:rFonts w:ascii="Arial" w:hAnsi="Arial"/>
        </w:rPr>
      </w:pPr>
      <w:r>
        <w:rPr>
          <w:rFonts w:ascii="Arial" w:hAnsi="Arial"/>
        </w:rPr>
        <w:t xml:space="preserve">All other deposits not subject to custodial credit risk disclosure should be reported in column (E).  </w:t>
      </w:r>
    </w:p>
    <w:p w14:paraId="6193F9F4" w14:textId="77777777" w:rsidR="003133E7" w:rsidRDefault="003133E7" w:rsidP="003133E7">
      <w:pPr>
        <w:tabs>
          <w:tab w:val="left" w:pos="576"/>
        </w:tabs>
        <w:jc w:val="both"/>
        <w:rPr>
          <w:rFonts w:ascii="Arial" w:hAnsi="Arial"/>
        </w:rPr>
      </w:pPr>
    </w:p>
    <w:p w14:paraId="04E8FA02" w14:textId="77777777" w:rsidR="003133E7" w:rsidRDefault="003133E7" w:rsidP="003133E7">
      <w:pPr>
        <w:tabs>
          <w:tab w:val="left" w:pos="576"/>
        </w:tabs>
        <w:jc w:val="both"/>
        <w:rPr>
          <w:rFonts w:ascii="Arial" w:hAnsi="Arial"/>
          <w:b/>
        </w:rPr>
      </w:pPr>
      <w:r>
        <w:rPr>
          <w:rFonts w:ascii="Arial" w:hAnsi="Arial"/>
        </w:rPr>
        <w:t>For each financial institution that maintains deposits of the entity, FDIC insures savings accounts and other time deposits such as certificates of deposit and bank investment contracts combined up to $</w:t>
      </w:r>
      <w:r w:rsidR="009C1848">
        <w:rPr>
          <w:rFonts w:ascii="Arial" w:hAnsi="Arial"/>
        </w:rPr>
        <w:t>250</w:t>
      </w:r>
      <w:r>
        <w:rPr>
          <w:rFonts w:ascii="Arial" w:hAnsi="Arial"/>
        </w:rPr>
        <w:t>,000.  When an entity holds deposits in a fiduciary capacity (</w:t>
      </w:r>
      <w:r>
        <w:rPr>
          <w:rFonts w:ascii="Arial" w:hAnsi="Arial"/>
          <w:i/>
        </w:rPr>
        <w:t>examples</w:t>
      </w:r>
      <w:proofErr w:type="gramStart"/>
      <w:r>
        <w:rPr>
          <w:rFonts w:ascii="Arial" w:hAnsi="Arial"/>
          <w:i/>
        </w:rPr>
        <w:t>:</w:t>
      </w:r>
      <w:r>
        <w:rPr>
          <w:rFonts w:ascii="Arial" w:hAnsi="Arial"/>
        </w:rPr>
        <w:t xml:space="preserve">  patient</w:t>
      </w:r>
      <w:proofErr w:type="gramEnd"/>
      <w:r>
        <w:rPr>
          <w:rFonts w:ascii="Arial" w:hAnsi="Arial"/>
        </w:rPr>
        <w:t xml:space="preserve"> personal funds, inmate funds, and Clerk of Court institutional funds), FDIC insures </w:t>
      </w:r>
      <w:proofErr w:type="gramStart"/>
      <w:r>
        <w:rPr>
          <w:rFonts w:ascii="Arial" w:hAnsi="Arial"/>
        </w:rPr>
        <w:t>each individual's</w:t>
      </w:r>
      <w:proofErr w:type="gramEnd"/>
      <w:r>
        <w:rPr>
          <w:rFonts w:ascii="Arial" w:hAnsi="Arial"/>
        </w:rPr>
        <w:t xml:space="preserve"> deposit up to $</w:t>
      </w:r>
      <w:r w:rsidR="009C1848">
        <w:rPr>
          <w:rFonts w:ascii="Arial" w:hAnsi="Arial"/>
        </w:rPr>
        <w:t>250</w:t>
      </w:r>
      <w:r>
        <w:rPr>
          <w:rFonts w:ascii="Arial" w:hAnsi="Arial"/>
        </w:rPr>
        <w:t xml:space="preserve">,000 if the entity's records can identify those deposits of </w:t>
      </w:r>
      <w:proofErr w:type="gramStart"/>
      <w:r>
        <w:rPr>
          <w:rFonts w:ascii="Arial" w:hAnsi="Arial"/>
        </w:rPr>
        <w:t>each individual</w:t>
      </w:r>
      <w:proofErr w:type="gramEnd"/>
      <w:r>
        <w:rPr>
          <w:rFonts w:ascii="Arial" w:hAnsi="Arial"/>
        </w:rPr>
        <w:t xml:space="preserve">.  </w:t>
      </w:r>
      <w:r>
        <w:rPr>
          <w:rFonts w:ascii="Arial" w:hAnsi="Arial"/>
          <w:b/>
        </w:rPr>
        <w:t>(NOTE: The FDIC insurance coverage is for deposits per financial institution, not for deposits per account.)</w:t>
      </w:r>
    </w:p>
    <w:p w14:paraId="78CBD592" w14:textId="77777777" w:rsidR="003133E7" w:rsidRDefault="003133E7" w:rsidP="003133E7">
      <w:pPr>
        <w:tabs>
          <w:tab w:val="left" w:pos="576"/>
        </w:tabs>
        <w:jc w:val="both"/>
        <w:rPr>
          <w:rFonts w:ascii="Arial" w:hAnsi="Arial"/>
        </w:rPr>
      </w:pPr>
    </w:p>
    <w:p w14:paraId="3ECD40BE" w14:textId="77777777" w:rsidR="003133E7" w:rsidRDefault="003133E7" w:rsidP="003133E7">
      <w:pPr>
        <w:tabs>
          <w:tab w:val="left" w:pos="576"/>
        </w:tabs>
        <w:jc w:val="both"/>
        <w:rPr>
          <w:rFonts w:ascii="Arial" w:hAnsi="Arial"/>
          <w:b/>
        </w:rPr>
      </w:pPr>
      <w:r>
        <w:rPr>
          <w:rFonts w:ascii="Arial" w:hAnsi="Arial"/>
          <w:b/>
        </w:rPr>
        <w:t>According to the North Carolina Administrative Code - Title 20, Chapter 7—The only public deposits which can legally be collateralized by financial institutions are those of the State Treasurer, Medical Faculty Practice Plans (MFPP), and Dental Faculty Practice Plans (DFPP).  The deposits of the Clerks of the Superior Courts are required by G.S. 7A-112 to be collateralized by the financial institutions.</w:t>
      </w:r>
    </w:p>
    <w:p w14:paraId="633998DB" w14:textId="77777777" w:rsidR="003133E7" w:rsidRDefault="003133E7" w:rsidP="003133E7">
      <w:pPr>
        <w:tabs>
          <w:tab w:val="left" w:pos="576"/>
        </w:tabs>
        <w:jc w:val="both"/>
        <w:rPr>
          <w:rFonts w:ascii="Arial" w:hAnsi="Arial"/>
        </w:rPr>
      </w:pPr>
    </w:p>
    <w:p w14:paraId="33A9EF9D" w14:textId="77777777" w:rsidR="003133E7" w:rsidRDefault="003133E7" w:rsidP="003133E7">
      <w:pPr>
        <w:tabs>
          <w:tab w:val="left" w:pos="576"/>
        </w:tabs>
        <w:jc w:val="both"/>
        <w:rPr>
          <w:rFonts w:ascii="Arial" w:hAnsi="Arial"/>
        </w:rPr>
      </w:pPr>
      <w:r>
        <w:rPr>
          <w:rFonts w:ascii="Arial" w:hAnsi="Arial"/>
        </w:rPr>
        <w:t>Total the amounts in columns (</w:t>
      </w:r>
      <w:r w:rsidR="00FA6B84">
        <w:rPr>
          <w:rFonts w:ascii="Arial" w:hAnsi="Arial"/>
        </w:rPr>
        <w:t>B</w:t>
      </w:r>
      <w:r>
        <w:rPr>
          <w:rFonts w:ascii="Arial" w:hAnsi="Arial"/>
        </w:rPr>
        <w:t xml:space="preserve">), </w:t>
      </w:r>
      <w:r w:rsidR="00A15140">
        <w:rPr>
          <w:rFonts w:ascii="Arial" w:hAnsi="Arial"/>
        </w:rPr>
        <w:t xml:space="preserve">(C), </w:t>
      </w:r>
      <w:r>
        <w:rPr>
          <w:rFonts w:ascii="Arial" w:hAnsi="Arial"/>
        </w:rPr>
        <w:t>(D), and (</w:t>
      </w:r>
      <w:r w:rsidR="00FA6B84">
        <w:rPr>
          <w:rFonts w:ascii="Arial" w:hAnsi="Arial"/>
        </w:rPr>
        <w:t>E</w:t>
      </w:r>
      <w:r>
        <w:rPr>
          <w:rFonts w:ascii="Arial" w:hAnsi="Arial"/>
        </w:rPr>
        <w:t>) and show the totals in column (</w:t>
      </w:r>
      <w:r w:rsidR="00FA6B84">
        <w:rPr>
          <w:rFonts w:ascii="Arial" w:hAnsi="Arial"/>
        </w:rPr>
        <w:t>F</w:t>
      </w:r>
      <w:r>
        <w:rPr>
          <w:rFonts w:ascii="Arial" w:hAnsi="Arial"/>
        </w:rPr>
        <w:t>).  The totals in column (</w:t>
      </w:r>
      <w:r w:rsidR="00FA6B84">
        <w:rPr>
          <w:rFonts w:ascii="Arial" w:hAnsi="Arial"/>
        </w:rPr>
        <w:t>F</w:t>
      </w:r>
      <w:r>
        <w:rPr>
          <w:rFonts w:ascii="Arial" w:hAnsi="Arial"/>
        </w:rPr>
        <w:t>) should agree to the amounts in column (</w:t>
      </w:r>
      <w:r w:rsidR="00FA6B84">
        <w:rPr>
          <w:rFonts w:ascii="Arial" w:hAnsi="Arial"/>
        </w:rPr>
        <w:t>A</w:t>
      </w:r>
      <w:r>
        <w:rPr>
          <w:rFonts w:ascii="Arial" w:hAnsi="Arial"/>
        </w:rPr>
        <w:t>).</w:t>
      </w:r>
    </w:p>
    <w:p w14:paraId="195A1CA6" w14:textId="77777777" w:rsidR="00C502E2" w:rsidRDefault="00C502E2" w:rsidP="003133E7">
      <w:pPr>
        <w:tabs>
          <w:tab w:val="left" w:pos="576"/>
        </w:tabs>
        <w:jc w:val="both"/>
        <w:rPr>
          <w:rFonts w:ascii="Arial" w:hAnsi="Arial"/>
        </w:rPr>
      </w:pPr>
    </w:p>
    <w:p w14:paraId="3109D224" w14:textId="77777777" w:rsidR="00C502E2" w:rsidRDefault="00C502E2" w:rsidP="003133E7">
      <w:pPr>
        <w:tabs>
          <w:tab w:val="left" w:pos="576"/>
        </w:tabs>
        <w:jc w:val="both"/>
        <w:rPr>
          <w:rFonts w:ascii="Arial" w:hAnsi="Arial"/>
        </w:rPr>
      </w:pPr>
      <w:r>
        <w:rPr>
          <w:rFonts w:ascii="Arial" w:hAnsi="Arial"/>
        </w:rPr>
        <w:t xml:space="preserve">Total the amounts on page 705 (Time and Demand Accounts) and 715 (Certificates of Deposit and Bank Investment Contracts) in columns (A) through (F). </w:t>
      </w:r>
    </w:p>
    <w:p w14:paraId="60CF6DA4" w14:textId="2C4BFD7C" w:rsidR="000A4642" w:rsidRDefault="000A4642" w:rsidP="003133E7">
      <w:pPr>
        <w:tabs>
          <w:tab w:val="left" w:pos="576"/>
        </w:tabs>
        <w:jc w:val="both"/>
        <w:rPr>
          <w:rFonts w:ascii="Arial" w:hAnsi="Arial"/>
          <w:b/>
          <w:u w:val="single"/>
        </w:rPr>
      </w:pPr>
    </w:p>
    <w:p w14:paraId="7A483DCF" w14:textId="77777777" w:rsidR="00A360C0" w:rsidRDefault="00A360C0" w:rsidP="003133E7">
      <w:pPr>
        <w:tabs>
          <w:tab w:val="left" w:pos="576"/>
        </w:tabs>
        <w:jc w:val="both"/>
        <w:rPr>
          <w:rFonts w:ascii="Arial" w:hAnsi="Arial"/>
          <w:b/>
          <w:u w:val="single"/>
        </w:rPr>
      </w:pPr>
    </w:p>
    <w:p w14:paraId="10AE201F" w14:textId="77777777" w:rsidR="0010517B" w:rsidRPr="003A0302" w:rsidRDefault="0010517B" w:rsidP="0010517B">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 xml:space="preserve">Worksheet </w:t>
      </w:r>
      <w:proofErr w:type="gramStart"/>
      <w:r w:rsidRPr="003A0302">
        <w:rPr>
          <w:rFonts w:ascii="Arial" w:hAnsi="Arial"/>
          <w:b/>
          <w:sz w:val="22"/>
          <w:szCs w:val="22"/>
          <w:u w:val="single"/>
        </w:rPr>
        <w:t>720  —</w:t>
      </w:r>
      <w:proofErr w:type="gramEnd"/>
      <w:r w:rsidRPr="003A0302">
        <w:rPr>
          <w:rFonts w:ascii="Arial" w:hAnsi="Arial"/>
          <w:b/>
          <w:sz w:val="22"/>
          <w:szCs w:val="22"/>
          <w:u w:val="single"/>
        </w:rPr>
        <w:t xml:space="preserve">  Investments Held Outside </w:t>
      </w:r>
      <w:proofErr w:type="gramStart"/>
      <w:r w:rsidRPr="003A0302">
        <w:rPr>
          <w:rFonts w:ascii="Arial" w:hAnsi="Arial"/>
          <w:b/>
          <w:sz w:val="22"/>
          <w:szCs w:val="22"/>
          <w:u w:val="single"/>
        </w:rPr>
        <w:t>The</w:t>
      </w:r>
      <w:proofErr w:type="gramEnd"/>
      <w:r w:rsidRPr="003A0302">
        <w:rPr>
          <w:rFonts w:ascii="Arial" w:hAnsi="Arial"/>
          <w:b/>
          <w:sz w:val="22"/>
          <w:szCs w:val="22"/>
          <w:u w:val="single"/>
        </w:rPr>
        <w:t xml:space="preserve"> State Treasurer—Interest Rate Risk</w:t>
      </w:r>
    </w:p>
    <w:p w14:paraId="0312FC30" w14:textId="77777777" w:rsidR="0058072A" w:rsidRDefault="0058072A" w:rsidP="0010517B">
      <w:pPr>
        <w:tabs>
          <w:tab w:val="left" w:pos="576"/>
        </w:tabs>
        <w:spacing w:line="216" w:lineRule="atLeast"/>
        <w:jc w:val="both"/>
        <w:rPr>
          <w:rFonts w:ascii="Arial" w:hAnsi="Arial"/>
        </w:rPr>
      </w:pPr>
    </w:p>
    <w:p w14:paraId="0A617663" w14:textId="44B46E28" w:rsidR="00DE296B" w:rsidRDefault="00DE296B" w:rsidP="0010517B">
      <w:pPr>
        <w:tabs>
          <w:tab w:val="left" w:pos="576"/>
        </w:tabs>
        <w:spacing w:line="216" w:lineRule="atLeast"/>
        <w:jc w:val="both"/>
        <w:rPr>
          <w:rFonts w:ascii="Arial" w:hAnsi="Arial"/>
        </w:rPr>
      </w:pPr>
      <w:r>
        <w:rPr>
          <w:rFonts w:ascii="Arial" w:hAnsi="Arial"/>
        </w:rPr>
        <w:t xml:space="preserve">Money market mutual funds cannot maintain a dollar-weighted average portfolio maturity (WAM) that exceeds 60 calendar days per the Securities and Exchange Commission (SEC). Therefore, the investment maturity for money market mutual funds must be less than 1 year. No amounts should be entered </w:t>
      </w:r>
      <w:proofErr w:type="gramStart"/>
      <w:r>
        <w:rPr>
          <w:rFonts w:ascii="Arial" w:hAnsi="Arial"/>
        </w:rPr>
        <w:t>in</w:t>
      </w:r>
      <w:proofErr w:type="gramEnd"/>
      <w:r>
        <w:rPr>
          <w:rFonts w:ascii="Arial" w:hAnsi="Arial"/>
        </w:rPr>
        <w:t xml:space="preserve"> the columns with maturities of 1 year or greater. </w:t>
      </w:r>
    </w:p>
    <w:p w14:paraId="58F2C2AE" w14:textId="7423785B" w:rsidR="006C31E8" w:rsidRDefault="006C31E8" w:rsidP="0010517B">
      <w:pPr>
        <w:tabs>
          <w:tab w:val="left" w:pos="576"/>
        </w:tabs>
        <w:spacing w:line="216" w:lineRule="atLeast"/>
        <w:jc w:val="both"/>
        <w:rPr>
          <w:rFonts w:ascii="Arial" w:hAnsi="Arial"/>
        </w:rPr>
      </w:pPr>
    </w:p>
    <w:p w14:paraId="0FCD3186" w14:textId="36156AA9" w:rsidR="006C31E8" w:rsidRDefault="004C53EA" w:rsidP="0010517B">
      <w:pPr>
        <w:tabs>
          <w:tab w:val="left" w:pos="576"/>
        </w:tabs>
        <w:spacing w:line="216" w:lineRule="atLeast"/>
        <w:jc w:val="both"/>
        <w:rPr>
          <w:rFonts w:ascii="Arial" w:hAnsi="Arial"/>
        </w:rPr>
      </w:pPr>
      <w:r w:rsidRPr="009EA386">
        <w:rPr>
          <w:rFonts w:ascii="Arial" w:hAnsi="Arial"/>
          <w:b/>
        </w:rPr>
        <w:t>F</w:t>
      </w:r>
      <w:r w:rsidR="006C31E8" w:rsidRPr="009EA386">
        <w:rPr>
          <w:rFonts w:ascii="Arial" w:hAnsi="Arial"/>
          <w:b/>
        </w:rPr>
        <w:t>or “Other” Investment</w:t>
      </w:r>
      <w:r w:rsidRPr="009EA386">
        <w:rPr>
          <w:rFonts w:ascii="Arial" w:hAnsi="Arial"/>
          <w:b/>
        </w:rPr>
        <w:t xml:space="preserve"> Types</w:t>
      </w:r>
      <w:r w:rsidR="006C31E8" w:rsidRPr="009EA386">
        <w:rPr>
          <w:rFonts w:ascii="Arial" w:hAnsi="Arial"/>
          <w:b/>
        </w:rPr>
        <w:t>:</w:t>
      </w:r>
      <w:r w:rsidR="006C31E8" w:rsidRPr="009EA386">
        <w:rPr>
          <w:rFonts w:ascii="Arial" w:hAnsi="Arial"/>
        </w:rPr>
        <w:t xml:space="preserve"> If an “Other” investment class was chosen on Worksheet 710, the SAME category MUST be chosen from the dropdown box on Worksheet 720.</w:t>
      </w:r>
      <w:r>
        <w:rPr>
          <w:rFonts w:ascii="Arial" w:hAnsi="Arial"/>
        </w:rPr>
        <w:t xml:space="preserve"> </w:t>
      </w:r>
      <w:r w:rsidR="00DA30FB">
        <w:rPr>
          <w:rFonts w:ascii="Arial" w:hAnsi="Arial"/>
        </w:rPr>
        <w:t>Also s</w:t>
      </w:r>
      <w:r>
        <w:rPr>
          <w:rFonts w:ascii="Arial" w:hAnsi="Arial"/>
        </w:rPr>
        <w:t xml:space="preserve">ee </w:t>
      </w:r>
      <w:proofErr w:type="gramStart"/>
      <w:r>
        <w:rPr>
          <w:rFonts w:ascii="Arial" w:hAnsi="Arial"/>
        </w:rPr>
        <w:t>instructions</w:t>
      </w:r>
      <w:proofErr w:type="gramEnd"/>
      <w:r>
        <w:rPr>
          <w:rFonts w:ascii="Arial" w:hAnsi="Arial"/>
        </w:rPr>
        <w:t xml:space="preserve"> above for the 710 WS. </w:t>
      </w:r>
    </w:p>
    <w:p w14:paraId="66BF896E" w14:textId="77777777" w:rsidR="004C53EA" w:rsidRDefault="004C53EA" w:rsidP="00190C81">
      <w:pPr>
        <w:tabs>
          <w:tab w:val="left" w:pos="576"/>
        </w:tabs>
        <w:jc w:val="both"/>
        <w:rPr>
          <w:rFonts w:ascii="Arial" w:hAnsi="Arial"/>
          <w:b/>
          <w:sz w:val="22"/>
          <w:szCs w:val="22"/>
          <w:u w:val="single"/>
        </w:rPr>
      </w:pPr>
    </w:p>
    <w:p w14:paraId="2D53FC27" w14:textId="1CD38356" w:rsidR="00190C81" w:rsidRPr="003A0302" w:rsidRDefault="00190C81" w:rsidP="00190C81">
      <w:pPr>
        <w:tabs>
          <w:tab w:val="left" w:pos="576"/>
        </w:tabs>
        <w:jc w:val="both"/>
        <w:rPr>
          <w:rFonts w:ascii="Arial" w:hAnsi="Arial"/>
          <w:b/>
          <w:sz w:val="22"/>
          <w:szCs w:val="22"/>
          <w:u w:val="single"/>
        </w:rPr>
      </w:pPr>
      <w:r w:rsidRPr="003A0302">
        <w:rPr>
          <w:rFonts w:ascii="Arial" w:hAnsi="Arial"/>
          <w:b/>
          <w:sz w:val="22"/>
          <w:szCs w:val="22"/>
          <w:u w:val="single"/>
        </w:rPr>
        <w:t>Worksheet 725</w:t>
      </w:r>
    </w:p>
    <w:p w14:paraId="0A99F93E" w14:textId="4FFB6570" w:rsidR="00384A16" w:rsidRDefault="00384A16" w:rsidP="00190C81">
      <w:pPr>
        <w:tabs>
          <w:tab w:val="left" w:pos="576"/>
        </w:tabs>
        <w:jc w:val="both"/>
        <w:rPr>
          <w:rFonts w:ascii="Arial" w:hAnsi="Arial"/>
          <w:b/>
          <w:smallCaps/>
        </w:rPr>
      </w:pPr>
    </w:p>
    <w:p w14:paraId="7A6F5014" w14:textId="5619BB45" w:rsidR="00384A16" w:rsidRDefault="00DA30FB" w:rsidP="00190C81">
      <w:pPr>
        <w:tabs>
          <w:tab w:val="left" w:pos="576"/>
        </w:tabs>
        <w:jc w:val="both"/>
        <w:rPr>
          <w:rFonts w:ascii="Arial" w:hAnsi="Arial"/>
        </w:rPr>
      </w:pPr>
      <w:r w:rsidRPr="009EA386">
        <w:rPr>
          <w:rFonts w:ascii="Arial" w:hAnsi="Arial"/>
          <w:b/>
        </w:rPr>
        <w:t>F</w:t>
      </w:r>
      <w:r w:rsidR="00384A16" w:rsidRPr="009EA386">
        <w:rPr>
          <w:rFonts w:ascii="Arial" w:hAnsi="Arial"/>
          <w:b/>
        </w:rPr>
        <w:t>or “Other” Investment</w:t>
      </w:r>
      <w:r w:rsidRPr="009EA386">
        <w:rPr>
          <w:rFonts w:ascii="Arial" w:hAnsi="Arial"/>
          <w:b/>
        </w:rPr>
        <w:t xml:space="preserve"> Types</w:t>
      </w:r>
      <w:r w:rsidR="00384A16" w:rsidRPr="009EA386">
        <w:rPr>
          <w:rFonts w:ascii="Arial" w:hAnsi="Arial"/>
          <w:b/>
        </w:rPr>
        <w:t>:</w:t>
      </w:r>
      <w:r w:rsidR="00384A16" w:rsidRPr="009EA386">
        <w:rPr>
          <w:rFonts w:ascii="Arial" w:hAnsi="Arial"/>
        </w:rPr>
        <w:t xml:space="preserve"> If an “Other” investment class was chosen on Worksheet 710, the SAME category MUST be chosen from the dropdown box on Worksheet 725 for the “Other” investments that are subject to interest rate risk.</w:t>
      </w:r>
      <w:r w:rsidR="004C53EA" w:rsidRPr="004C53EA">
        <w:rPr>
          <w:rFonts w:ascii="Arial" w:hAnsi="Arial"/>
        </w:rPr>
        <w:t xml:space="preserve"> </w:t>
      </w:r>
      <w:r>
        <w:rPr>
          <w:rFonts w:ascii="Arial" w:hAnsi="Arial"/>
        </w:rPr>
        <w:t>Also s</w:t>
      </w:r>
      <w:r w:rsidR="004C53EA">
        <w:rPr>
          <w:rFonts w:ascii="Arial" w:hAnsi="Arial"/>
        </w:rPr>
        <w:t xml:space="preserve">ee </w:t>
      </w:r>
      <w:proofErr w:type="gramStart"/>
      <w:r w:rsidR="004C53EA">
        <w:rPr>
          <w:rFonts w:ascii="Arial" w:hAnsi="Arial"/>
        </w:rPr>
        <w:t>instructions</w:t>
      </w:r>
      <w:proofErr w:type="gramEnd"/>
      <w:r w:rsidR="004C53EA">
        <w:rPr>
          <w:rFonts w:ascii="Arial" w:hAnsi="Arial"/>
        </w:rPr>
        <w:t xml:space="preserve"> above for the 710 WS.</w:t>
      </w:r>
    </w:p>
    <w:p w14:paraId="3EBB8527" w14:textId="3AF001CF" w:rsidR="004C53EA" w:rsidRDefault="004C53EA" w:rsidP="00190C81">
      <w:pPr>
        <w:tabs>
          <w:tab w:val="left" w:pos="576"/>
        </w:tabs>
        <w:jc w:val="both"/>
        <w:rPr>
          <w:rFonts w:ascii="Arial" w:hAnsi="Arial"/>
        </w:rPr>
      </w:pPr>
    </w:p>
    <w:p w14:paraId="24823778" w14:textId="1CE2EEE9" w:rsidR="004C53EA" w:rsidRDefault="004C53EA" w:rsidP="00190C81">
      <w:pPr>
        <w:tabs>
          <w:tab w:val="left" w:pos="576"/>
        </w:tabs>
        <w:jc w:val="both"/>
        <w:rPr>
          <w:rFonts w:ascii="Arial" w:hAnsi="Arial"/>
          <w:b/>
          <w:smallCaps/>
        </w:rPr>
      </w:pPr>
      <w:r>
        <w:rPr>
          <w:rFonts w:ascii="Arial" w:hAnsi="Arial"/>
          <w:b/>
          <w:smallCaps/>
        </w:rPr>
        <w:t xml:space="preserve">Other Instructions are included on the 725 </w:t>
      </w:r>
      <w:proofErr w:type="gramStart"/>
      <w:r>
        <w:rPr>
          <w:rFonts w:ascii="Arial" w:hAnsi="Arial"/>
          <w:b/>
          <w:smallCaps/>
        </w:rPr>
        <w:t>worksheet</w:t>
      </w:r>
      <w:proofErr w:type="gramEnd"/>
      <w:r>
        <w:rPr>
          <w:rFonts w:ascii="Arial" w:hAnsi="Arial"/>
          <w:b/>
          <w:smallCaps/>
        </w:rPr>
        <w:t>.</w:t>
      </w:r>
    </w:p>
    <w:p w14:paraId="27C78C09" w14:textId="77777777" w:rsidR="00190C81" w:rsidRDefault="00190C81" w:rsidP="00462AA1">
      <w:pPr>
        <w:tabs>
          <w:tab w:val="left" w:pos="576"/>
        </w:tabs>
        <w:spacing w:line="216" w:lineRule="atLeast"/>
        <w:jc w:val="both"/>
        <w:rPr>
          <w:rFonts w:ascii="Arial" w:hAnsi="Arial"/>
          <w:b/>
          <w:sz w:val="22"/>
          <w:szCs w:val="22"/>
          <w:u w:val="single"/>
        </w:rPr>
      </w:pPr>
    </w:p>
    <w:p w14:paraId="00154406" w14:textId="5290576B" w:rsidR="004C53EA" w:rsidRPr="003A0302" w:rsidRDefault="004C53EA" w:rsidP="004C53EA">
      <w:pPr>
        <w:tabs>
          <w:tab w:val="left" w:pos="576"/>
        </w:tabs>
        <w:jc w:val="both"/>
        <w:rPr>
          <w:rFonts w:ascii="Arial" w:hAnsi="Arial"/>
          <w:b/>
          <w:sz w:val="22"/>
          <w:szCs w:val="22"/>
          <w:u w:val="single"/>
        </w:rPr>
      </w:pPr>
      <w:r w:rsidRPr="003A0302">
        <w:rPr>
          <w:rFonts w:ascii="Arial" w:hAnsi="Arial"/>
          <w:b/>
          <w:sz w:val="22"/>
          <w:szCs w:val="22"/>
          <w:u w:val="single"/>
        </w:rPr>
        <w:t xml:space="preserve">Worksheets 730 </w:t>
      </w:r>
      <w:r>
        <w:rPr>
          <w:rFonts w:ascii="Arial" w:hAnsi="Arial"/>
          <w:b/>
          <w:sz w:val="22"/>
          <w:szCs w:val="22"/>
          <w:u w:val="single"/>
        </w:rPr>
        <w:t xml:space="preserve">and </w:t>
      </w:r>
      <w:r w:rsidRPr="003A0302">
        <w:rPr>
          <w:rFonts w:ascii="Arial" w:hAnsi="Arial"/>
          <w:b/>
          <w:sz w:val="22"/>
          <w:szCs w:val="22"/>
          <w:u w:val="single"/>
        </w:rPr>
        <w:t>735</w:t>
      </w:r>
    </w:p>
    <w:p w14:paraId="7A469028" w14:textId="4ADF4676" w:rsidR="004C53EA" w:rsidRDefault="004C53EA" w:rsidP="004C53EA">
      <w:pPr>
        <w:tabs>
          <w:tab w:val="left" w:pos="576"/>
        </w:tabs>
        <w:spacing w:line="216" w:lineRule="atLeast"/>
        <w:jc w:val="both"/>
        <w:rPr>
          <w:rFonts w:ascii="Arial" w:hAnsi="Arial"/>
          <w:b/>
          <w:sz w:val="22"/>
          <w:szCs w:val="22"/>
          <w:u w:val="single"/>
        </w:rPr>
      </w:pPr>
      <w:r>
        <w:rPr>
          <w:rFonts w:ascii="Arial" w:hAnsi="Arial"/>
          <w:b/>
          <w:smallCaps/>
        </w:rPr>
        <w:t>Instructions are included on the individual worksheets.</w:t>
      </w:r>
    </w:p>
    <w:p w14:paraId="596DE5EA" w14:textId="77777777" w:rsidR="004C53EA" w:rsidRDefault="004C53EA" w:rsidP="00462AA1">
      <w:pPr>
        <w:tabs>
          <w:tab w:val="left" w:pos="576"/>
        </w:tabs>
        <w:spacing w:line="216" w:lineRule="atLeast"/>
        <w:jc w:val="both"/>
        <w:rPr>
          <w:rFonts w:ascii="Arial" w:hAnsi="Arial"/>
          <w:b/>
          <w:sz w:val="22"/>
          <w:szCs w:val="22"/>
          <w:u w:val="single"/>
        </w:rPr>
      </w:pPr>
    </w:p>
    <w:p w14:paraId="2F5D3F9D" w14:textId="729F041E" w:rsidR="00462AA1" w:rsidRPr="003A0302" w:rsidRDefault="00A80D86" w:rsidP="00462AA1">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 xml:space="preserve">Worksheet </w:t>
      </w:r>
      <w:proofErr w:type="gramStart"/>
      <w:r w:rsidRPr="003A0302">
        <w:rPr>
          <w:rFonts w:ascii="Arial" w:hAnsi="Arial"/>
          <w:b/>
          <w:sz w:val="22"/>
          <w:szCs w:val="22"/>
          <w:u w:val="single"/>
        </w:rPr>
        <w:t>740  —</w:t>
      </w:r>
      <w:proofErr w:type="gramEnd"/>
      <w:r w:rsidRPr="003A0302">
        <w:rPr>
          <w:rFonts w:ascii="Arial" w:hAnsi="Arial"/>
          <w:b/>
          <w:sz w:val="22"/>
          <w:szCs w:val="22"/>
          <w:u w:val="single"/>
        </w:rPr>
        <w:t xml:space="preserve">  Investments Held Outside </w:t>
      </w:r>
      <w:proofErr w:type="gramStart"/>
      <w:r w:rsidRPr="003A0302">
        <w:rPr>
          <w:rFonts w:ascii="Arial" w:hAnsi="Arial"/>
          <w:b/>
          <w:sz w:val="22"/>
          <w:szCs w:val="22"/>
          <w:u w:val="single"/>
        </w:rPr>
        <w:t>The</w:t>
      </w:r>
      <w:proofErr w:type="gramEnd"/>
      <w:r w:rsidRPr="003A0302">
        <w:rPr>
          <w:rFonts w:ascii="Arial" w:hAnsi="Arial"/>
          <w:b/>
          <w:sz w:val="22"/>
          <w:szCs w:val="22"/>
          <w:u w:val="single"/>
        </w:rPr>
        <w:t xml:space="preserve"> State Treasurer—Foreign Currency</w:t>
      </w:r>
    </w:p>
    <w:p w14:paraId="275E3B42" w14:textId="77777777" w:rsidR="00462AA1" w:rsidRDefault="00462AA1" w:rsidP="00462AA1">
      <w:pPr>
        <w:tabs>
          <w:tab w:val="left" w:pos="576"/>
        </w:tabs>
        <w:spacing w:line="216" w:lineRule="atLeast"/>
        <w:jc w:val="both"/>
        <w:rPr>
          <w:rFonts w:ascii="Arial" w:hAnsi="Arial"/>
          <w:b/>
          <w:u w:val="single"/>
        </w:rPr>
      </w:pPr>
    </w:p>
    <w:p w14:paraId="651428EB" w14:textId="77777777" w:rsidR="00513E6B" w:rsidRDefault="00513E6B" w:rsidP="00462AA1">
      <w:pPr>
        <w:tabs>
          <w:tab w:val="left" w:pos="458"/>
        </w:tabs>
        <w:rPr>
          <w:rFonts w:ascii="Arial" w:hAnsi="Arial" w:cs="Arial"/>
        </w:rPr>
      </w:pPr>
      <w:r>
        <w:rPr>
          <w:rFonts w:ascii="Arial" w:hAnsi="Arial" w:cs="Arial"/>
        </w:rPr>
        <w:t>Section A.  Foreign Currency Risk</w:t>
      </w:r>
    </w:p>
    <w:p w14:paraId="5172A652" w14:textId="77777777" w:rsidR="00513E6B" w:rsidRDefault="00513E6B" w:rsidP="00462AA1">
      <w:pPr>
        <w:tabs>
          <w:tab w:val="left" w:pos="458"/>
        </w:tabs>
        <w:rPr>
          <w:rFonts w:ascii="Arial" w:hAnsi="Arial" w:cs="Arial"/>
        </w:rPr>
      </w:pPr>
    </w:p>
    <w:p w14:paraId="366387A8" w14:textId="77777777" w:rsidR="00462AA1" w:rsidRPr="00462AA1" w:rsidRDefault="00462AA1" w:rsidP="00462AA1">
      <w:pPr>
        <w:tabs>
          <w:tab w:val="left" w:pos="458"/>
        </w:tabs>
        <w:rPr>
          <w:rFonts w:ascii="Arial" w:hAnsi="Arial" w:cs="Arial"/>
        </w:rPr>
      </w:pPr>
      <w:r w:rsidRPr="00462AA1">
        <w:rPr>
          <w:rFonts w:ascii="Arial" w:hAnsi="Arial" w:cs="Arial"/>
        </w:rPr>
        <w:t xml:space="preserve">Foreign currency risk disclosures should be made for all investments, including debt, equity, and real estate investments. (GASB </w:t>
      </w:r>
      <w:r w:rsidR="0043103A">
        <w:rPr>
          <w:rFonts w:ascii="Arial" w:hAnsi="Arial" w:cs="Arial"/>
        </w:rPr>
        <w:t>Codification Section I50.742-2</w:t>
      </w:r>
      <w:r w:rsidRPr="00462AA1">
        <w:rPr>
          <w:rFonts w:ascii="Arial" w:hAnsi="Arial" w:cs="Arial"/>
        </w:rPr>
        <w:t>)</w:t>
      </w:r>
    </w:p>
    <w:p w14:paraId="23581924" w14:textId="77777777" w:rsidR="00462AA1" w:rsidRPr="00462AA1" w:rsidRDefault="00462AA1" w:rsidP="00462AA1">
      <w:pPr>
        <w:tabs>
          <w:tab w:val="left" w:pos="458"/>
          <w:tab w:val="left" w:pos="1486"/>
          <w:tab w:val="left" w:pos="2514"/>
          <w:tab w:val="left" w:pos="3542"/>
          <w:tab w:val="left" w:pos="4570"/>
          <w:tab w:val="left" w:pos="5598"/>
          <w:tab w:val="left" w:pos="6626"/>
          <w:tab w:val="left" w:pos="7654"/>
          <w:tab w:val="left" w:pos="8682"/>
          <w:tab w:val="left" w:pos="9710"/>
          <w:tab w:val="left" w:pos="10738"/>
          <w:tab w:val="left" w:pos="11766"/>
        </w:tabs>
        <w:ind w:left="108"/>
        <w:rPr>
          <w:rFonts w:ascii="Arial" w:hAnsi="Arial" w:cs="Arial"/>
        </w:rPr>
      </w:pP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p>
    <w:p w14:paraId="05C93D25" w14:textId="77777777" w:rsidR="0093135E" w:rsidRDefault="007725DA" w:rsidP="00462AA1">
      <w:pPr>
        <w:tabs>
          <w:tab w:val="left" w:pos="458"/>
        </w:tabs>
        <w:rPr>
          <w:rFonts w:ascii="Arial" w:hAnsi="Arial" w:cs="Arial"/>
        </w:rPr>
      </w:pPr>
      <w:r>
        <w:rPr>
          <w:rFonts w:ascii="Arial" w:hAnsi="Arial" w:cs="Arial"/>
        </w:rPr>
        <w:t xml:space="preserve">A government has an investment in an international mutual fund that is denominated in U.S. dollars. The fund invests in securities that do not trade in the United States and are not denominated in U.S. dollars. Foreign currency risk disclosures are not required because the investment in the fund is U.S. dollar denominated and GASB Statement 40 does not require “looking through” to the individual investments held by the fund. </w:t>
      </w:r>
      <w:r w:rsidR="00462AA1" w:rsidRPr="00462AA1">
        <w:rPr>
          <w:rFonts w:ascii="Arial" w:hAnsi="Arial" w:cs="Arial"/>
        </w:rPr>
        <w:t xml:space="preserve">(GASB </w:t>
      </w:r>
      <w:r w:rsidR="0043103A">
        <w:rPr>
          <w:rFonts w:ascii="Arial" w:hAnsi="Arial" w:cs="Arial"/>
        </w:rPr>
        <w:t>Codification Section I50.742-3</w:t>
      </w:r>
      <w:r w:rsidR="00462AA1" w:rsidRPr="00462AA1">
        <w:rPr>
          <w:rFonts w:ascii="Arial" w:hAnsi="Arial" w:cs="Arial"/>
        </w:rPr>
        <w:t>)</w:t>
      </w:r>
      <w:r w:rsidR="00736EDF">
        <w:rPr>
          <w:rFonts w:ascii="Arial" w:hAnsi="Arial" w:cs="Arial"/>
        </w:rPr>
        <w:t xml:space="preserve"> If the government has an investment in an international mutual fund that is not denominated in U.S. dollars foreign currency risk disclosures are required. </w:t>
      </w:r>
      <w:r w:rsidR="00462AA1" w:rsidRPr="00462AA1">
        <w:rPr>
          <w:rFonts w:ascii="Arial" w:hAnsi="Arial" w:cs="Arial"/>
        </w:rPr>
        <w:tab/>
      </w:r>
      <w:r w:rsidR="00462AA1" w:rsidRPr="00462AA1">
        <w:rPr>
          <w:rFonts w:ascii="Arial" w:hAnsi="Arial" w:cs="Arial"/>
        </w:rPr>
        <w:tab/>
      </w:r>
    </w:p>
    <w:p w14:paraId="143B575C" w14:textId="77777777" w:rsidR="0093135E" w:rsidRDefault="0093135E" w:rsidP="00462AA1">
      <w:pPr>
        <w:tabs>
          <w:tab w:val="left" w:pos="458"/>
        </w:tabs>
        <w:rPr>
          <w:rFonts w:ascii="Arial" w:hAnsi="Arial" w:cs="Arial"/>
        </w:rPr>
      </w:pPr>
    </w:p>
    <w:p w14:paraId="565D897A" w14:textId="601D0A2A" w:rsidR="00DA30FB" w:rsidRPr="0093135E" w:rsidRDefault="00563997" w:rsidP="00DA30FB">
      <w:pPr>
        <w:tabs>
          <w:tab w:val="left" w:pos="458"/>
        </w:tabs>
        <w:rPr>
          <w:rFonts w:ascii="Arial" w:hAnsi="Arial" w:cs="Arial"/>
        </w:rPr>
      </w:pPr>
      <w:r w:rsidRPr="009EA386">
        <w:rPr>
          <w:rFonts w:ascii="Arial" w:hAnsi="Arial" w:cs="Arial"/>
          <w:b/>
        </w:rPr>
        <w:t>Investment Type and Foreign Currency columns</w:t>
      </w:r>
      <w:proofErr w:type="gramStart"/>
      <w:r w:rsidRPr="009EA386">
        <w:rPr>
          <w:rFonts w:ascii="Arial" w:hAnsi="Arial" w:cs="Arial"/>
          <w:b/>
        </w:rPr>
        <w:t>:</w:t>
      </w:r>
      <w:r w:rsidRPr="009EA386">
        <w:rPr>
          <w:rFonts w:ascii="Arial" w:hAnsi="Arial" w:cs="Arial"/>
        </w:rPr>
        <w:t xml:space="preserve">  </w:t>
      </w:r>
      <w:r w:rsidRPr="00563997">
        <w:rPr>
          <w:rFonts w:ascii="Arial" w:hAnsi="Arial" w:cs="Arial"/>
        </w:rPr>
        <w:t>Select</w:t>
      </w:r>
      <w:proofErr w:type="gramEnd"/>
      <w:r w:rsidR="00DA30FB" w:rsidRPr="00563997">
        <w:rPr>
          <w:rFonts w:ascii="Arial" w:hAnsi="Arial" w:cs="Arial"/>
        </w:rPr>
        <w:t xml:space="preserve"> the investment type in Section A, Column A from the dropdown boxes provided, and the corresponding foreign currency in Column B</w:t>
      </w:r>
      <w:r w:rsidRPr="00563997">
        <w:rPr>
          <w:rFonts w:ascii="Arial" w:hAnsi="Arial" w:cs="Arial"/>
        </w:rPr>
        <w:t xml:space="preserve"> from the dropdown boxes provided</w:t>
      </w:r>
      <w:r w:rsidR="00DA30FB" w:rsidRPr="00563997">
        <w:rPr>
          <w:rFonts w:ascii="Arial" w:hAnsi="Arial" w:cs="Arial"/>
        </w:rPr>
        <w:t xml:space="preserve">. If one investment class is denominated in multiple currencies, use multiple lines in the investment type column and choose the foreign currency denomination and key the amount for each line. </w:t>
      </w:r>
      <w:r w:rsidRPr="00563997">
        <w:rPr>
          <w:rFonts w:ascii="Arial" w:hAnsi="Arial" w:cs="Arial"/>
        </w:rPr>
        <w:t xml:space="preserve">An investment type AND foreign currency must be selected if an amount is provided in Column C, Carrying Value. </w:t>
      </w:r>
      <w:r w:rsidR="00DA30FB" w:rsidRPr="00563997">
        <w:rPr>
          <w:rFonts w:ascii="Arial" w:hAnsi="Arial" w:cs="Arial"/>
        </w:rPr>
        <w:t>If an investment class denominated in foreign currency is not listed, OR if a foreign currency is not included in the dropdown box in Column B, please contact your OSC Analyst.</w:t>
      </w:r>
    </w:p>
    <w:p w14:paraId="5007CD58" w14:textId="77777777" w:rsidR="00DA30FB" w:rsidRDefault="00DA30FB" w:rsidP="00462AA1">
      <w:pPr>
        <w:tabs>
          <w:tab w:val="left" w:pos="458"/>
        </w:tabs>
        <w:rPr>
          <w:rFonts w:ascii="Arial" w:hAnsi="Arial" w:cs="Arial"/>
        </w:rPr>
      </w:pPr>
    </w:p>
    <w:p w14:paraId="439330A0" w14:textId="5E21C177" w:rsidR="0093135E" w:rsidRDefault="0093135E" w:rsidP="00462AA1">
      <w:pPr>
        <w:tabs>
          <w:tab w:val="left" w:pos="458"/>
        </w:tabs>
        <w:rPr>
          <w:rFonts w:ascii="Arial" w:hAnsi="Arial" w:cs="Arial"/>
        </w:rPr>
      </w:pPr>
      <w:r>
        <w:rPr>
          <w:rFonts w:ascii="Arial" w:hAnsi="Arial" w:cs="Arial"/>
        </w:rPr>
        <w:t>Section B.  Foreign Currency Transactions</w:t>
      </w:r>
    </w:p>
    <w:p w14:paraId="00BD398E" w14:textId="77777777" w:rsidR="0093135E" w:rsidRDefault="0093135E" w:rsidP="00462AA1">
      <w:pPr>
        <w:tabs>
          <w:tab w:val="left" w:pos="458"/>
        </w:tabs>
        <w:rPr>
          <w:rFonts w:ascii="Arial" w:hAnsi="Arial" w:cs="Arial"/>
        </w:rPr>
      </w:pPr>
    </w:p>
    <w:p w14:paraId="76559E60" w14:textId="68D4F3C9" w:rsidR="00462AA1" w:rsidRDefault="0093135E" w:rsidP="00462AA1">
      <w:pPr>
        <w:tabs>
          <w:tab w:val="left" w:pos="458"/>
        </w:tabs>
        <w:rPr>
          <w:rFonts w:ascii="Arial" w:hAnsi="Arial" w:cs="Arial"/>
        </w:rPr>
      </w:pPr>
      <w:r>
        <w:rPr>
          <w:rFonts w:ascii="Arial" w:hAnsi="Arial" w:cs="Arial"/>
        </w:rPr>
        <w:t xml:space="preserve">A transaction gain or loss realized upon settlement of a foreign currency transaction generally should be recognized in the period in which the transaction is settled (GASB </w:t>
      </w:r>
      <w:r w:rsidR="0043103A">
        <w:rPr>
          <w:rFonts w:ascii="Arial" w:hAnsi="Arial" w:cs="Arial"/>
        </w:rPr>
        <w:t>Codification Section F70.</w:t>
      </w:r>
      <w:r w:rsidR="00AF42AD">
        <w:rPr>
          <w:rFonts w:ascii="Arial" w:hAnsi="Arial" w:cs="Arial"/>
        </w:rPr>
        <w:t>102</w:t>
      </w:r>
      <w:r>
        <w:rPr>
          <w:rFonts w:ascii="Arial" w:hAnsi="Arial" w:cs="Arial"/>
        </w:rPr>
        <w:t xml:space="preserve">).  Transaction gains or losses result from a change in exchange rates between the U.S. dollar and the currency in which a foreign currency transaction is denominated.  They represent an increase/decrease in (a) the actual U.S. dollar cash flows realized upon settlement of foreign currency transactions and (b) the expected U.S. dollar cash flows on unsettled foreign currency transactions (GASB </w:t>
      </w:r>
      <w:r w:rsidR="00AF42AD">
        <w:rPr>
          <w:rFonts w:ascii="Arial" w:hAnsi="Arial" w:cs="Arial"/>
        </w:rPr>
        <w:t>Codification Section F70.504</w:t>
      </w:r>
      <w:r>
        <w:rPr>
          <w:rFonts w:ascii="Arial" w:hAnsi="Arial" w:cs="Arial"/>
        </w:rPr>
        <w:t xml:space="preserve">).  </w:t>
      </w:r>
    </w:p>
    <w:p w14:paraId="4C995B0F" w14:textId="32471DA6" w:rsidR="00AC2679" w:rsidRDefault="00AC2679" w:rsidP="00462AA1">
      <w:pPr>
        <w:tabs>
          <w:tab w:val="left" w:pos="458"/>
        </w:tabs>
        <w:rPr>
          <w:rFonts w:ascii="Arial" w:hAnsi="Arial" w:cs="Arial"/>
        </w:rPr>
      </w:pPr>
    </w:p>
    <w:p w14:paraId="78941033" w14:textId="2A62B8EA" w:rsidR="00190C81" w:rsidRPr="003A0302" w:rsidRDefault="00190C81" w:rsidP="00190C81">
      <w:pPr>
        <w:tabs>
          <w:tab w:val="left" w:pos="576"/>
        </w:tabs>
        <w:jc w:val="both"/>
        <w:rPr>
          <w:rFonts w:ascii="Arial" w:hAnsi="Arial"/>
          <w:b/>
          <w:sz w:val="22"/>
          <w:szCs w:val="22"/>
          <w:u w:val="single"/>
        </w:rPr>
      </w:pPr>
      <w:r w:rsidRPr="003A0302">
        <w:rPr>
          <w:rFonts w:ascii="Arial" w:hAnsi="Arial"/>
          <w:b/>
          <w:sz w:val="22"/>
          <w:szCs w:val="22"/>
          <w:u w:val="single"/>
        </w:rPr>
        <w:t>Worksheets 745 and 750</w:t>
      </w:r>
    </w:p>
    <w:p w14:paraId="633E6298" w14:textId="77777777" w:rsidR="00190C81" w:rsidRDefault="00190C81" w:rsidP="00190C81">
      <w:pPr>
        <w:tabs>
          <w:tab w:val="left" w:pos="576"/>
        </w:tabs>
        <w:jc w:val="both"/>
        <w:rPr>
          <w:rFonts w:ascii="Arial" w:hAnsi="Arial"/>
          <w:b/>
          <w:smallCaps/>
        </w:rPr>
      </w:pPr>
      <w:r>
        <w:rPr>
          <w:rFonts w:ascii="Arial" w:hAnsi="Arial"/>
          <w:b/>
          <w:smallCaps/>
        </w:rPr>
        <w:t>Instructions are included on the individual worksheets.</w:t>
      </w:r>
    </w:p>
    <w:p w14:paraId="7A34A3D6" w14:textId="77777777" w:rsidR="007D0EE9" w:rsidRDefault="007D0EE9" w:rsidP="000A4642">
      <w:pPr>
        <w:tabs>
          <w:tab w:val="left" w:pos="576"/>
        </w:tabs>
        <w:jc w:val="both"/>
        <w:rPr>
          <w:rFonts w:ascii="Arial" w:hAnsi="Arial"/>
          <w:b/>
          <w:smallCaps/>
        </w:rPr>
      </w:pPr>
    </w:p>
    <w:p w14:paraId="507E4533" w14:textId="77777777" w:rsidR="00D4119B" w:rsidRPr="003A0302" w:rsidRDefault="00D4119B" w:rsidP="00D4119B">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 xml:space="preserve">Worksheet </w:t>
      </w:r>
      <w:proofErr w:type="gramStart"/>
      <w:r w:rsidRPr="003A0302">
        <w:rPr>
          <w:rFonts w:ascii="Arial" w:hAnsi="Arial"/>
          <w:b/>
          <w:sz w:val="22"/>
          <w:szCs w:val="22"/>
          <w:u w:val="single"/>
        </w:rPr>
        <w:t>755  —</w:t>
      </w:r>
      <w:proofErr w:type="gramEnd"/>
      <w:r w:rsidRPr="003A0302">
        <w:rPr>
          <w:rFonts w:ascii="Arial" w:hAnsi="Arial"/>
          <w:b/>
          <w:sz w:val="22"/>
          <w:szCs w:val="22"/>
          <w:u w:val="single"/>
        </w:rPr>
        <w:t xml:space="preserve">  Investments Held Outside </w:t>
      </w:r>
      <w:proofErr w:type="gramStart"/>
      <w:r w:rsidRPr="003A0302">
        <w:rPr>
          <w:rFonts w:ascii="Arial" w:hAnsi="Arial"/>
          <w:b/>
          <w:sz w:val="22"/>
          <w:szCs w:val="22"/>
          <w:u w:val="single"/>
        </w:rPr>
        <w:t>The</w:t>
      </w:r>
      <w:proofErr w:type="gramEnd"/>
      <w:r w:rsidRPr="003A0302">
        <w:rPr>
          <w:rFonts w:ascii="Arial" w:hAnsi="Arial"/>
          <w:b/>
          <w:sz w:val="22"/>
          <w:szCs w:val="22"/>
          <w:u w:val="single"/>
        </w:rPr>
        <w:t xml:space="preserve"> State Treasurer </w:t>
      </w:r>
      <w:r w:rsidRPr="009EA386">
        <w:rPr>
          <w:rFonts w:ascii="Arial" w:hAnsi="Arial"/>
          <w:b/>
          <w:sz w:val="22"/>
          <w:szCs w:val="22"/>
          <w:u w:val="single"/>
        </w:rPr>
        <w:t>and Derivatives</w:t>
      </w:r>
      <w:r w:rsidRPr="003A0302">
        <w:rPr>
          <w:rFonts w:ascii="Arial" w:hAnsi="Arial"/>
          <w:b/>
          <w:sz w:val="22"/>
          <w:szCs w:val="22"/>
          <w:u w:val="single"/>
        </w:rPr>
        <w:t>—Fair Value Measurements</w:t>
      </w:r>
    </w:p>
    <w:p w14:paraId="17318421" w14:textId="77777777" w:rsidR="00D4119B" w:rsidRDefault="00D4119B" w:rsidP="00D4119B">
      <w:pPr>
        <w:tabs>
          <w:tab w:val="left" w:pos="576"/>
        </w:tabs>
        <w:spacing w:line="216" w:lineRule="atLeast"/>
        <w:jc w:val="both"/>
        <w:rPr>
          <w:rFonts w:ascii="Arial" w:hAnsi="Arial"/>
          <w:b/>
          <w:u w:val="single"/>
        </w:rPr>
      </w:pPr>
    </w:p>
    <w:p w14:paraId="61A6AE38" w14:textId="4F7CC78B" w:rsidR="008A16CD" w:rsidRPr="008A16CD" w:rsidRDefault="008A16CD" w:rsidP="00D4119B">
      <w:pPr>
        <w:tabs>
          <w:tab w:val="left" w:pos="576"/>
        </w:tabs>
        <w:spacing w:line="216" w:lineRule="atLeast"/>
        <w:jc w:val="both"/>
        <w:rPr>
          <w:rFonts w:ascii="Arial" w:hAnsi="Arial"/>
        </w:rPr>
      </w:pPr>
      <w:r>
        <w:rPr>
          <w:rFonts w:ascii="Arial" w:hAnsi="Arial"/>
        </w:rPr>
        <w:t xml:space="preserve">Disclosures in this worksheet are required by GASB </w:t>
      </w:r>
      <w:r w:rsidR="00E92507">
        <w:rPr>
          <w:rFonts w:ascii="Arial" w:hAnsi="Arial"/>
        </w:rPr>
        <w:t xml:space="preserve">Statement </w:t>
      </w:r>
      <w:r>
        <w:rPr>
          <w:rFonts w:ascii="Arial" w:hAnsi="Arial"/>
        </w:rPr>
        <w:t xml:space="preserve">72. For more information on GASB 72 disclosure requirements, refer to the </w:t>
      </w:r>
      <w:hyperlink r:id="rId24" w:history="1">
        <w:r w:rsidRPr="008A16CD">
          <w:rPr>
            <w:rStyle w:val="Hyperlink"/>
            <w:rFonts w:ascii="Arial" w:hAnsi="Arial"/>
          </w:rPr>
          <w:t>GASB 72 Financial Reporting Update</w:t>
        </w:r>
      </w:hyperlink>
      <w:r>
        <w:rPr>
          <w:rFonts w:ascii="Arial" w:hAnsi="Arial"/>
        </w:rPr>
        <w:t xml:space="preserve"> (FRU) on OSC’s website. </w:t>
      </w:r>
    </w:p>
    <w:p w14:paraId="52767814" w14:textId="77777777" w:rsidR="008A16CD" w:rsidRDefault="008A16CD" w:rsidP="00D4119B">
      <w:pPr>
        <w:tabs>
          <w:tab w:val="left" w:pos="576"/>
        </w:tabs>
        <w:spacing w:line="216" w:lineRule="atLeast"/>
        <w:jc w:val="both"/>
        <w:rPr>
          <w:rFonts w:ascii="Arial" w:hAnsi="Arial"/>
          <w:b/>
          <w:u w:val="single"/>
        </w:rPr>
      </w:pPr>
    </w:p>
    <w:p w14:paraId="25E97A06" w14:textId="77777777" w:rsidR="001E0423" w:rsidRPr="001E0423" w:rsidRDefault="008A59CD" w:rsidP="00D4119B">
      <w:pPr>
        <w:tabs>
          <w:tab w:val="left" w:pos="576"/>
        </w:tabs>
        <w:spacing w:line="216" w:lineRule="atLeast"/>
        <w:jc w:val="both"/>
        <w:rPr>
          <w:rFonts w:ascii="Arial" w:hAnsi="Arial"/>
          <w:u w:val="single"/>
        </w:rPr>
      </w:pPr>
      <w:r>
        <w:rPr>
          <w:rFonts w:ascii="Arial" w:hAnsi="Arial"/>
          <w:u w:val="single"/>
        </w:rPr>
        <w:t>Year-end Balance (</w:t>
      </w:r>
      <w:r w:rsidR="001E0423" w:rsidRPr="001E0423">
        <w:rPr>
          <w:rFonts w:ascii="Arial" w:hAnsi="Arial"/>
          <w:u w:val="single"/>
        </w:rPr>
        <w:t>Column A</w:t>
      </w:r>
      <w:r>
        <w:rPr>
          <w:rFonts w:ascii="Arial" w:hAnsi="Arial"/>
          <w:u w:val="single"/>
        </w:rPr>
        <w:t>)</w:t>
      </w:r>
    </w:p>
    <w:p w14:paraId="08FAFB18" w14:textId="6CED7A60" w:rsidR="006229C2" w:rsidRDefault="006229C2" w:rsidP="00D4119B">
      <w:pPr>
        <w:tabs>
          <w:tab w:val="left" w:pos="576"/>
        </w:tabs>
        <w:spacing w:line="216" w:lineRule="atLeast"/>
        <w:jc w:val="both"/>
        <w:rPr>
          <w:rFonts w:ascii="Arial" w:hAnsi="Arial"/>
        </w:rPr>
      </w:pPr>
      <w:r w:rsidRPr="006229C2">
        <w:rPr>
          <w:rFonts w:ascii="Arial" w:hAnsi="Arial"/>
        </w:rPr>
        <w:t>The 6/30/</w:t>
      </w:r>
      <w:r w:rsidR="001E0423">
        <w:rPr>
          <w:rFonts w:ascii="Arial" w:hAnsi="Arial"/>
        </w:rPr>
        <w:t>20</w:t>
      </w:r>
      <w:r w:rsidRPr="006229C2">
        <w:rPr>
          <w:rFonts w:ascii="Arial" w:hAnsi="Arial"/>
        </w:rPr>
        <w:t>XX</w:t>
      </w:r>
      <w:r>
        <w:rPr>
          <w:rFonts w:ascii="Arial" w:hAnsi="Arial"/>
        </w:rPr>
        <w:t xml:space="preserve"> </w:t>
      </w:r>
      <w:r w:rsidR="001E0423">
        <w:rPr>
          <w:rFonts w:ascii="Arial" w:hAnsi="Arial"/>
        </w:rPr>
        <w:t xml:space="preserve">balance </w:t>
      </w:r>
      <w:r w:rsidRPr="006229C2">
        <w:rPr>
          <w:rFonts w:ascii="Arial" w:hAnsi="Arial"/>
        </w:rPr>
        <w:t xml:space="preserve">is </w:t>
      </w:r>
      <w:r>
        <w:rPr>
          <w:rFonts w:ascii="Arial" w:hAnsi="Arial"/>
        </w:rPr>
        <w:t xml:space="preserve">automatically </w:t>
      </w:r>
      <w:r w:rsidRPr="006229C2">
        <w:rPr>
          <w:rFonts w:ascii="Arial" w:hAnsi="Arial"/>
        </w:rPr>
        <w:t xml:space="preserve">populated from the </w:t>
      </w:r>
      <w:r w:rsidR="003F6203">
        <w:rPr>
          <w:rFonts w:ascii="Arial" w:hAnsi="Arial"/>
        </w:rPr>
        <w:t>ACFR</w:t>
      </w:r>
      <w:r w:rsidR="008A16CD">
        <w:rPr>
          <w:rFonts w:ascii="Arial" w:hAnsi="Arial"/>
        </w:rPr>
        <w:t xml:space="preserve"> Package </w:t>
      </w:r>
      <w:r w:rsidRPr="006229C2">
        <w:rPr>
          <w:rFonts w:ascii="Arial" w:hAnsi="Arial"/>
        </w:rPr>
        <w:t xml:space="preserve">710 </w:t>
      </w:r>
      <w:r w:rsidR="001E0423">
        <w:rPr>
          <w:rFonts w:ascii="Arial" w:hAnsi="Arial"/>
        </w:rPr>
        <w:t xml:space="preserve">Investments and 340 Derivatives </w:t>
      </w:r>
      <w:r w:rsidRPr="006229C2">
        <w:rPr>
          <w:rFonts w:ascii="Arial" w:hAnsi="Arial"/>
        </w:rPr>
        <w:t>worksheet</w:t>
      </w:r>
      <w:r w:rsidR="008F187C">
        <w:rPr>
          <w:rFonts w:ascii="Arial" w:hAnsi="Arial"/>
        </w:rPr>
        <w:t>s</w:t>
      </w:r>
      <w:r w:rsidR="00E92507">
        <w:rPr>
          <w:rFonts w:ascii="Arial" w:hAnsi="Arial"/>
        </w:rPr>
        <w:t>,</w:t>
      </w:r>
      <w:r w:rsidR="008F187C">
        <w:rPr>
          <w:rFonts w:ascii="Arial" w:hAnsi="Arial"/>
        </w:rPr>
        <w:t xml:space="preserve"> except for investments listed as “other”.</w:t>
      </w:r>
      <w:r w:rsidR="00384A16">
        <w:rPr>
          <w:rFonts w:ascii="Arial" w:hAnsi="Arial"/>
        </w:rPr>
        <w:t xml:space="preserve"> </w:t>
      </w:r>
      <w:r w:rsidR="0081339B" w:rsidRPr="009EA386">
        <w:rPr>
          <w:rFonts w:ascii="Arial" w:hAnsi="Arial"/>
          <w:b/>
        </w:rPr>
        <w:t>F</w:t>
      </w:r>
      <w:r w:rsidR="00384A16" w:rsidRPr="009EA386">
        <w:rPr>
          <w:rFonts w:ascii="Arial" w:hAnsi="Arial"/>
          <w:b/>
        </w:rPr>
        <w:t>or “Other” Investments:</w:t>
      </w:r>
      <w:r w:rsidR="00384A16" w:rsidRPr="009EA386">
        <w:rPr>
          <w:rFonts w:ascii="Arial" w:hAnsi="Arial"/>
        </w:rPr>
        <w:t xml:space="preserve"> If an “Other” investment class was chosen on Worksheet 710, the SAME category MUST be chosen from the dropdown box on Worksheet 755.</w:t>
      </w:r>
      <w:r w:rsidR="008F187C" w:rsidRPr="009EA386">
        <w:rPr>
          <w:rFonts w:ascii="Arial" w:hAnsi="Arial"/>
        </w:rPr>
        <w:t xml:space="preserve"> </w:t>
      </w:r>
      <w:r w:rsidR="0081339B" w:rsidRPr="009EA386">
        <w:rPr>
          <w:rFonts w:ascii="Arial" w:hAnsi="Arial"/>
        </w:rPr>
        <w:t>Note</w:t>
      </w:r>
      <w:proofErr w:type="gramStart"/>
      <w:r w:rsidR="0081339B" w:rsidRPr="009EA386">
        <w:rPr>
          <w:rFonts w:ascii="Arial" w:hAnsi="Arial"/>
        </w:rPr>
        <w:t>:  an</w:t>
      </w:r>
      <w:proofErr w:type="gramEnd"/>
      <w:r w:rsidR="0081339B" w:rsidRPr="009EA386">
        <w:rPr>
          <w:rFonts w:ascii="Arial" w:hAnsi="Arial"/>
        </w:rPr>
        <w:t xml:space="preserve"> investment type must be selected if an amount is listed on these rows. K</w:t>
      </w:r>
      <w:r w:rsidR="00131081" w:rsidRPr="009EA386">
        <w:rPr>
          <w:rFonts w:ascii="Arial" w:hAnsi="Arial"/>
        </w:rPr>
        <w:t xml:space="preserve">ey the amounts in the appropriate section of the 755 </w:t>
      </w:r>
      <w:proofErr w:type="gramStart"/>
      <w:r w:rsidR="00131081" w:rsidRPr="009EA386">
        <w:rPr>
          <w:rFonts w:ascii="Arial" w:hAnsi="Arial"/>
        </w:rPr>
        <w:t>worksheet</w:t>
      </w:r>
      <w:proofErr w:type="gramEnd"/>
      <w:r w:rsidR="00131081" w:rsidRPr="009EA386">
        <w:rPr>
          <w:rFonts w:ascii="Arial" w:hAnsi="Arial"/>
        </w:rPr>
        <w:t xml:space="preserve"> (WS).</w:t>
      </w:r>
      <w:r w:rsidR="00131081" w:rsidRPr="0081339B">
        <w:rPr>
          <w:rFonts w:ascii="Arial" w:hAnsi="Arial"/>
        </w:rPr>
        <w:t xml:space="preserve"> </w:t>
      </w:r>
      <w:r w:rsidR="00131081">
        <w:rPr>
          <w:rFonts w:ascii="Arial" w:hAnsi="Arial"/>
        </w:rPr>
        <w:t>Note</w:t>
      </w:r>
      <w:proofErr w:type="gramStart"/>
      <w:r w:rsidR="00131081">
        <w:rPr>
          <w:rFonts w:ascii="Arial" w:hAnsi="Arial"/>
        </w:rPr>
        <w:t>:  If</w:t>
      </w:r>
      <w:proofErr w:type="gramEnd"/>
      <w:r w:rsidR="00131081">
        <w:rPr>
          <w:rFonts w:ascii="Arial" w:hAnsi="Arial"/>
        </w:rPr>
        <w:t xml:space="preserve"> adjustments are needed to the 755 WS, contact your OSC Analyst for assistance. The 755 WS automatically populates based on how investment types are typically measured. It is the </w:t>
      </w:r>
      <w:proofErr w:type="gramStart"/>
      <w:r w:rsidR="00131081">
        <w:rPr>
          <w:rFonts w:ascii="Arial" w:hAnsi="Arial"/>
        </w:rPr>
        <w:t>entities’</w:t>
      </w:r>
      <w:proofErr w:type="gramEnd"/>
      <w:r w:rsidR="00131081">
        <w:rPr>
          <w:rFonts w:ascii="Arial" w:hAnsi="Arial"/>
        </w:rPr>
        <w:t xml:space="preserve"> responsibility to ensure the investments are listed in the appropriate section. </w:t>
      </w:r>
    </w:p>
    <w:p w14:paraId="1F7F8310" w14:textId="77777777" w:rsidR="008842DE" w:rsidRDefault="008842DE" w:rsidP="00D4119B">
      <w:pPr>
        <w:tabs>
          <w:tab w:val="left" w:pos="576"/>
        </w:tabs>
        <w:spacing w:line="216" w:lineRule="atLeast"/>
        <w:jc w:val="both"/>
        <w:rPr>
          <w:rFonts w:ascii="Arial" w:hAnsi="Arial"/>
        </w:rPr>
      </w:pPr>
    </w:p>
    <w:p w14:paraId="79D3D141" w14:textId="77777777" w:rsidR="006229C2" w:rsidRPr="006229C2" w:rsidRDefault="006229C2" w:rsidP="00D4119B">
      <w:pPr>
        <w:tabs>
          <w:tab w:val="left" w:pos="576"/>
        </w:tabs>
        <w:spacing w:line="216" w:lineRule="atLeast"/>
        <w:jc w:val="both"/>
        <w:rPr>
          <w:rFonts w:ascii="Arial" w:hAnsi="Arial"/>
          <w:u w:val="single"/>
        </w:rPr>
      </w:pPr>
      <w:r w:rsidRPr="006229C2">
        <w:rPr>
          <w:rFonts w:ascii="Arial" w:hAnsi="Arial"/>
          <w:u w:val="single"/>
        </w:rPr>
        <w:lastRenderedPageBreak/>
        <w:t>Fair Value Hierarchy Levels</w:t>
      </w:r>
      <w:r>
        <w:rPr>
          <w:rFonts w:ascii="Arial" w:hAnsi="Arial"/>
          <w:u w:val="single"/>
        </w:rPr>
        <w:t xml:space="preserve"> (Columns B, C, &amp; D)</w:t>
      </w:r>
    </w:p>
    <w:p w14:paraId="3AFFABCC" w14:textId="77777777" w:rsidR="00716B45" w:rsidRDefault="001D073E" w:rsidP="004A695F">
      <w:pPr>
        <w:tabs>
          <w:tab w:val="left" w:pos="576"/>
        </w:tabs>
        <w:spacing w:line="216" w:lineRule="atLeast"/>
        <w:jc w:val="both"/>
        <w:rPr>
          <w:rFonts w:ascii="Arial" w:hAnsi="Arial"/>
        </w:rPr>
      </w:pPr>
      <w:r>
        <w:rPr>
          <w:rFonts w:ascii="Arial" w:hAnsi="Arial"/>
        </w:rPr>
        <w:t xml:space="preserve">The fair value (FV) hierarchy categorizes the inputs to valuation techniques used to measure FV into three levels. </w:t>
      </w:r>
      <w:r w:rsidRPr="001D073E">
        <w:rPr>
          <w:rFonts w:ascii="Arial" w:hAnsi="Arial"/>
          <w:b/>
        </w:rPr>
        <w:t>Level 1</w:t>
      </w:r>
      <w:r>
        <w:rPr>
          <w:rFonts w:ascii="Arial" w:hAnsi="Arial"/>
        </w:rPr>
        <w:t xml:space="preserve"> inputs are quoted prices (unadjusted) for </w:t>
      </w:r>
      <w:r w:rsidRPr="003805B8">
        <w:rPr>
          <w:rFonts w:ascii="Arial" w:hAnsi="Arial"/>
          <w:i/>
        </w:rPr>
        <w:t>identical</w:t>
      </w:r>
      <w:r>
        <w:rPr>
          <w:rFonts w:ascii="Arial" w:hAnsi="Arial"/>
        </w:rPr>
        <w:t xml:space="preserve"> assets or liabilities in active markets that a government can access at the measurement date. </w:t>
      </w:r>
      <w:r w:rsidRPr="001D073E">
        <w:rPr>
          <w:rFonts w:ascii="Arial" w:hAnsi="Arial"/>
          <w:b/>
        </w:rPr>
        <w:t>Level 2</w:t>
      </w:r>
      <w:r>
        <w:rPr>
          <w:rFonts w:ascii="Arial" w:hAnsi="Arial"/>
        </w:rPr>
        <w:t xml:space="preserve"> inputs are inputs that are observable (other than quoted prices in level 1) for an asset or liability, either directly </w:t>
      </w:r>
      <w:r w:rsidR="003805B8">
        <w:rPr>
          <w:rFonts w:ascii="Arial" w:hAnsi="Arial"/>
        </w:rPr>
        <w:t xml:space="preserve">(quoted market prices for </w:t>
      </w:r>
      <w:r w:rsidR="003805B8" w:rsidRPr="003805B8">
        <w:rPr>
          <w:rFonts w:ascii="Arial" w:hAnsi="Arial"/>
          <w:i/>
        </w:rPr>
        <w:t>similar</w:t>
      </w:r>
      <w:r w:rsidR="003805B8">
        <w:rPr>
          <w:rFonts w:ascii="Arial" w:hAnsi="Arial"/>
        </w:rPr>
        <w:t xml:space="preserve"> assets or liabilities) </w:t>
      </w:r>
      <w:r>
        <w:rPr>
          <w:rFonts w:ascii="Arial" w:hAnsi="Arial"/>
        </w:rPr>
        <w:t>or indirectly</w:t>
      </w:r>
      <w:r w:rsidR="003805B8">
        <w:rPr>
          <w:rFonts w:ascii="Arial" w:hAnsi="Arial"/>
        </w:rPr>
        <w:t xml:space="preserve"> (</w:t>
      </w:r>
      <w:r w:rsidR="003805B8" w:rsidRPr="003805B8">
        <w:rPr>
          <w:rFonts w:ascii="Arial" w:hAnsi="Arial"/>
        </w:rPr>
        <w:t>correlated or corroborated from observable market information).</w:t>
      </w:r>
      <w:r>
        <w:rPr>
          <w:rFonts w:ascii="Arial" w:hAnsi="Arial"/>
        </w:rPr>
        <w:t xml:space="preserve"> </w:t>
      </w:r>
      <w:r w:rsidRPr="001D073E">
        <w:rPr>
          <w:rFonts w:ascii="Arial" w:hAnsi="Arial"/>
          <w:b/>
        </w:rPr>
        <w:t>Level 3</w:t>
      </w:r>
      <w:r>
        <w:rPr>
          <w:rFonts w:ascii="Arial" w:hAnsi="Arial"/>
        </w:rPr>
        <w:t xml:space="preserve"> inputs </w:t>
      </w:r>
    </w:p>
    <w:p w14:paraId="11406735" w14:textId="77777777" w:rsidR="00716B45" w:rsidRDefault="00716B45" w:rsidP="004A695F">
      <w:pPr>
        <w:tabs>
          <w:tab w:val="left" w:pos="576"/>
        </w:tabs>
        <w:spacing w:line="216" w:lineRule="atLeast"/>
        <w:jc w:val="both"/>
        <w:rPr>
          <w:rFonts w:ascii="Arial" w:hAnsi="Arial"/>
        </w:rPr>
      </w:pPr>
    </w:p>
    <w:p w14:paraId="4E0F9FA7" w14:textId="7D6E730B" w:rsidR="001D073E" w:rsidRDefault="001D073E" w:rsidP="004A695F">
      <w:pPr>
        <w:tabs>
          <w:tab w:val="left" w:pos="576"/>
        </w:tabs>
        <w:spacing w:line="216" w:lineRule="atLeast"/>
        <w:jc w:val="both"/>
        <w:rPr>
          <w:rFonts w:ascii="Arial" w:hAnsi="Arial"/>
        </w:rPr>
      </w:pPr>
      <w:r>
        <w:rPr>
          <w:rFonts w:ascii="Arial" w:hAnsi="Arial"/>
        </w:rPr>
        <w:t xml:space="preserve">are unobservable inputs for an asset or liability. If FV of an asset or liability is measured using inputs from more than one level of the FV hierarchy, the measurement </w:t>
      </w:r>
      <w:proofErr w:type="gramStart"/>
      <w:r>
        <w:rPr>
          <w:rFonts w:ascii="Arial" w:hAnsi="Arial"/>
        </w:rPr>
        <w:t>is considered to be</w:t>
      </w:r>
      <w:proofErr w:type="gramEnd"/>
      <w:r>
        <w:rPr>
          <w:rFonts w:ascii="Arial" w:hAnsi="Arial"/>
        </w:rPr>
        <w:t xml:space="preserve"> based on the lowest priority level input that is significant to the entire measurement. </w:t>
      </w:r>
      <w:r w:rsidR="004A695F" w:rsidRPr="004A695F">
        <w:rPr>
          <w:rFonts w:ascii="Arial" w:hAnsi="Arial"/>
        </w:rPr>
        <w:t>For example, if a measurement has three significant inputs, two are Level 2 and one is Level 3, the FV measurement is categorized as Level 3 of the FV hierarchy.</w:t>
      </w:r>
    </w:p>
    <w:p w14:paraId="486C9904" w14:textId="77777777" w:rsidR="001D073E" w:rsidRDefault="001D073E" w:rsidP="00D4119B">
      <w:pPr>
        <w:tabs>
          <w:tab w:val="left" w:pos="576"/>
        </w:tabs>
        <w:spacing w:line="216" w:lineRule="atLeast"/>
        <w:jc w:val="both"/>
        <w:rPr>
          <w:rFonts w:ascii="Arial" w:hAnsi="Arial"/>
        </w:rPr>
      </w:pPr>
    </w:p>
    <w:p w14:paraId="09371602" w14:textId="77777777" w:rsidR="008A16CD" w:rsidRDefault="008A16CD" w:rsidP="00D4119B">
      <w:pPr>
        <w:tabs>
          <w:tab w:val="left" w:pos="576"/>
        </w:tabs>
        <w:spacing w:line="216" w:lineRule="atLeast"/>
        <w:jc w:val="both"/>
        <w:rPr>
          <w:rFonts w:ascii="Arial" w:hAnsi="Arial"/>
        </w:rPr>
      </w:pPr>
      <w:r>
        <w:rPr>
          <w:rFonts w:ascii="Arial" w:hAnsi="Arial"/>
        </w:rPr>
        <w:t xml:space="preserve">See the GASB 72 FRU appendix A (link above) for some common examples of investment </w:t>
      </w:r>
      <w:r w:rsidR="000A101F">
        <w:rPr>
          <w:rFonts w:ascii="Arial" w:hAnsi="Arial"/>
        </w:rPr>
        <w:t>FV</w:t>
      </w:r>
      <w:r>
        <w:rPr>
          <w:rFonts w:ascii="Arial" w:hAnsi="Arial"/>
        </w:rPr>
        <w:t xml:space="preserve"> measurements categorized within levels 1, 2, or 3 of the </w:t>
      </w:r>
      <w:r w:rsidR="000A101F">
        <w:rPr>
          <w:rFonts w:ascii="Arial" w:hAnsi="Arial"/>
        </w:rPr>
        <w:t>FV</w:t>
      </w:r>
      <w:r>
        <w:rPr>
          <w:rFonts w:ascii="Arial" w:hAnsi="Arial"/>
        </w:rPr>
        <w:t xml:space="preserve"> hierarchy. </w:t>
      </w:r>
    </w:p>
    <w:p w14:paraId="2153FF41" w14:textId="77777777" w:rsidR="008A16CD" w:rsidRDefault="008A16CD" w:rsidP="00D4119B">
      <w:pPr>
        <w:tabs>
          <w:tab w:val="left" w:pos="576"/>
        </w:tabs>
        <w:spacing w:line="216" w:lineRule="atLeast"/>
        <w:jc w:val="both"/>
        <w:rPr>
          <w:rFonts w:ascii="Arial" w:hAnsi="Arial"/>
        </w:rPr>
      </w:pPr>
    </w:p>
    <w:p w14:paraId="2E7420C1" w14:textId="77777777" w:rsidR="00232CF0" w:rsidRDefault="00232CF0" w:rsidP="00D4119B">
      <w:pPr>
        <w:tabs>
          <w:tab w:val="left" w:pos="576"/>
        </w:tabs>
        <w:spacing w:line="216" w:lineRule="atLeast"/>
        <w:jc w:val="both"/>
        <w:rPr>
          <w:rFonts w:ascii="Arial" w:hAnsi="Arial"/>
        </w:rPr>
      </w:pPr>
      <w:r>
        <w:rPr>
          <w:rFonts w:ascii="Arial" w:hAnsi="Arial"/>
        </w:rPr>
        <w:t>Investments, Investment Derivatives, and Hedging Derivatives sections:</w:t>
      </w:r>
    </w:p>
    <w:p w14:paraId="3819522C" w14:textId="77777777" w:rsidR="00232CF0" w:rsidRDefault="00D4119B" w:rsidP="00D4119B">
      <w:pPr>
        <w:tabs>
          <w:tab w:val="left" w:pos="576"/>
        </w:tabs>
        <w:spacing w:line="216" w:lineRule="atLeast"/>
        <w:jc w:val="both"/>
        <w:rPr>
          <w:rFonts w:ascii="Arial" w:hAnsi="Arial"/>
        </w:rPr>
      </w:pPr>
      <w:r>
        <w:rPr>
          <w:rFonts w:ascii="Arial" w:hAnsi="Arial"/>
        </w:rPr>
        <w:t>For investments and de</w:t>
      </w:r>
      <w:r w:rsidR="000A101F">
        <w:rPr>
          <w:rFonts w:ascii="Arial" w:hAnsi="Arial"/>
        </w:rPr>
        <w:t>rivatives reported at FV</w:t>
      </w:r>
      <w:r>
        <w:rPr>
          <w:rFonts w:ascii="Arial" w:hAnsi="Arial"/>
        </w:rPr>
        <w:t xml:space="preserve">, </w:t>
      </w:r>
      <w:r w:rsidR="00232CF0">
        <w:rPr>
          <w:rFonts w:ascii="Arial" w:hAnsi="Arial"/>
        </w:rPr>
        <w:t>categorize</w:t>
      </w:r>
      <w:r>
        <w:rPr>
          <w:rFonts w:ascii="Arial" w:hAnsi="Arial"/>
        </w:rPr>
        <w:t xml:space="preserve"> the </w:t>
      </w:r>
      <w:r w:rsidR="000A101F">
        <w:rPr>
          <w:rFonts w:ascii="Arial" w:hAnsi="Arial"/>
        </w:rPr>
        <w:t>FV</w:t>
      </w:r>
      <w:r w:rsidR="006229C2">
        <w:rPr>
          <w:rFonts w:ascii="Arial" w:hAnsi="Arial"/>
        </w:rPr>
        <w:t xml:space="preserve"> </w:t>
      </w:r>
      <w:r w:rsidR="00232CF0">
        <w:rPr>
          <w:rFonts w:ascii="Arial" w:hAnsi="Arial"/>
        </w:rPr>
        <w:t xml:space="preserve">measurement </w:t>
      </w:r>
      <w:r w:rsidR="006229C2">
        <w:rPr>
          <w:rFonts w:ascii="Arial" w:hAnsi="Arial"/>
        </w:rPr>
        <w:t xml:space="preserve">in each </w:t>
      </w:r>
      <w:r>
        <w:rPr>
          <w:rFonts w:ascii="Arial" w:hAnsi="Arial"/>
        </w:rPr>
        <w:t xml:space="preserve">level of </w:t>
      </w:r>
      <w:r w:rsidR="006229C2">
        <w:rPr>
          <w:rFonts w:ascii="Arial" w:hAnsi="Arial"/>
        </w:rPr>
        <w:t xml:space="preserve">the </w:t>
      </w:r>
      <w:r w:rsidR="000A101F">
        <w:rPr>
          <w:rFonts w:ascii="Arial" w:hAnsi="Arial"/>
        </w:rPr>
        <w:t>FV</w:t>
      </w:r>
      <w:r>
        <w:rPr>
          <w:rFonts w:ascii="Arial" w:hAnsi="Arial"/>
        </w:rPr>
        <w:t xml:space="preserve"> </w:t>
      </w:r>
      <w:r w:rsidR="00381AB2">
        <w:rPr>
          <w:rFonts w:ascii="Arial" w:hAnsi="Arial"/>
        </w:rPr>
        <w:t>hierarchy that</w:t>
      </w:r>
      <w:r w:rsidR="006229C2">
        <w:rPr>
          <w:rFonts w:ascii="Arial" w:hAnsi="Arial"/>
        </w:rPr>
        <w:t xml:space="preserve"> applies</w:t>
      </w:r>
      <w:r w:rsidR="00232CF0">
        <w:rPr>
          <w:rFonts w:ascii="Arial" w:hAnsi="Arial"/>
        </w:rPr>
        <w:t xml:space="preserve">, in its entirety (Level </w:t>
      </w:r>
      <w:r w:rsidR="00232CF0" w:rsidRPr="00232CF0">
        <w:rPr>
          <w:rFonts w:ascii="Arial" w:hAnsi="Arial"/>
        </w:rPr>
        <w:t>1</w:t>
      </w:r>
      <w:r w:rsidR="00232CF0">
        <w:rPr>
          <w:rFonts w:ascii="Arial" w:hAnsi="Arial"/>
        </w:rPr>
        <w:t>, Level 2, or Level 3)</w:t>
      </w:r>
      <w:r>
        <w:rPr>
          <w:rFonts w:ascii="Arial" w:hAnsi="Arial"/>
        </w:rPr>
        <w:t>.</w:t>
      </w:r>
      <w:r w:rsidR="00232CF0">
        <w:rPr>
          <w:rFonts w:ascii="Arial" w:hAnsi="Arial"/>
        </w:rPr>
        <w:t xml:space="preserve"> </w:t>
      </w:r>
    </w:p>
    <w:p w14:paraId="3E723574" w14:textId="77777777" w:rsidR="00232CF0" w:rsidRDefault="00232CF0" w:rsidP="00D4119B">
      <w:pPr>
        <w:tabs>
          <w:tab w:val="left" w:pos="576"/>
        </w:tabs>
        <w:spacing w:line="216" w:lineRule="atLeast"/>
        <w:jc w:val="both"/>
        <w:rPr>
          <w:rFonts w:ascii="Arial" w:hAnsi="Arial"/>
        </w:rPr>
      </w:pPr>
    </w:p>
    <w:p w14:paraId="3E798A51" w14:textId="77777777" w:rsidR="00431528" w:rsidRDefault="00431528" w:rsidP="00431528">
      <w:pPr>
        <w:tabs>
          <w:tab w:val="left" w:pos="576"/>
        </w:tabs>
        <w:spacing w:line="216" w:lineRule="atLeast"/>
        <w:jc w:val="both"/>
        <w:rPr>
          <w:rFonts w:ascii="Arial" w:hAnsi="Arial"/>
        </w:rPr>
      </w:pPr>
      <w:r>
        <w:rPr>
          <w:rFonts w:ascii="Arial" w:hAnsi="Arial"/>
        </w:rPr>
        <w:t>Investments measured at NAV section:</w:t>
      </w:r>
    </w:p>
    <w:p w14:paraId="57BC23D6" w14:textId="77777777" w:rsidR="001E0423" w:rsidRDefault="00232CF0" w:rsidP="001E0423">
      <w:pPr>
        <w:tabs>
          <w:tab w:val="left" w:pos="576"/>
        </w:tabs>
        <w:spacing w:line="216" w:lineRule="atLeast"/>
        <w:jc w:val="both"/>
        <w:rPr>
          <w:rFonts w:ascii="Arial" w:hAnsi="Arial"/>
        </w:rPr>
      </w:pPr>
      <w:r>
        <w:rPr>
          <w:rFonts w:ascii="Arial" w:hAnsi="Arial"/>
        </w:rPr>
        <w:t>Fair values of</w:t>
      </w:r>
      <w:r w:rsidR="00D4119B">
        <w:rPr>
          <w:rFonts w:ascii="Arial" w:hAnsi="Arial"/>
        </w:rPr>
        <w:t xml:space="preserve"> investments measured at the net asset value (NAV) per share </w:t>
      </w:r>
      <w:r>
        <w:rPr>
          <w:rFonts w:ascii="Arial" w:hAnsi="Arial"/>
        </w:rPr>
        <w:t>(</w:t>
      </w:r>
      <w:r w:rsidR="00D4119B">
        <w:rPr>
          <w:rFonts w:ascii="Arial" w:hAnsi="Arial"/>
        </w:rPr>
        <w:t xml:space="preserve">or </w:t>
      </w:r>
      <w:r>
        <w:rPr>
          <w:rFonts w:ascii="Arial" w:hAnsi="Arial"/>
        </w:rPr>
        <w:t xml:space="preserve">its </w:t>
      </w:r>
      <w:r w:rsidR="00D4119B">
        <w:rPr>
          <w:rFonts w:ascii="Arial" w:hAnsi="Arial"/>
        </w:rPr>
        <w:t>equivalent</w:t>
      </w:r>
      <w:r>
        <w:rPr>
          <w:rFonts w:ascii="Arial" w:hAnsi="Arial"/>
        </w:rPr>
        <w:t>)</w:t>
      </w:r>
      <w:r w:rsidR="00D4119B">
        <w:rPr>
          <w:rFonts w:ascii="Arial" w:hAnsi="Arial"/>
        </w:rPr>
        <w:t xml:space="preserve"> that meet the criteria in GASB</w:t>
      </w:r>
      <w:r w:rsidR="00ED795D">
        <w:rPr>
          <w:rFonts w:ascii="Arial" w:hAnsi="Arial"/>
        </w:rPr>
        <w:t xml:space="preserve"> Codification Section I50.127 - .130</w:t>
      </w:r>
      <w:r w:rsidR="00D4119B">
        <w:rPr>
          <w:rFonts w:ascii="Arial" w:hAnsi="Arial"/>
        </w:rPr>
        <w:t xml:space="preserve">, the level of </w:t>
      </w:r>
      <w:r w:rsidR="000A101F">
        <w:rPr>
          <w:rFonts w:ascii="Arial" w:hAnsi="Arial"/>
        </w:rPr>
        <w:t>FV</w:t>
      </w:r>
      <w:r w:rsidR="00D4119B">
        <w:rPr>
          <w:rFonts w:ascii="Arial" w:hAnsi="Arial"/>
        </w:rPr>
        <w:t xml:space="preserve"> hierarchy </w:t>
      </w:r>
      <w:r>
        <w:rPr>
          <w:rFonts w:ascii="Arial" w:hAnsi="Arial"/>
        </w:rPr>
        <w:t>should</w:t>
      </w:r>
      <w:r w:rsidR="00D4119B">
        <w:rPr>
          <w:rFonts w:ascii="Arial" w:hAnsi="Arial"/>
        </w:rPr>
        <w:t xml:space="preserve"> not </w:t>
      </w:r>
      <w:r w:rsidR="009F52A2">
        <w:rPr>
          <w:rFonts w:ascii="Arial" w:hAnsi="Arial"/>
        </w:rPr>
        <w:t xml:space="preserve">be </w:t>
      </w:r>
      <w:r>
        <w:rPr>
          <w:rFonts w:ascii="Arial" w:hAnsi="Arial"/>
        </w:rPr>
        <w:t>categorized</w:t>
      </w:r>
      <w:r w:rsidR="006229C2">
        <w:rPr>
          <w:rFonts w:ascii="Arial" w:hAnsi="Arial"/>
        </w:rPr>
        <w:t xml:space="preserve"> and these </w:t>
      </w:r>
      <w:r>
        <w:rPr>
          <w:rFonts w:ascii="Arial" w:hAnsi="Arial"/>
        </w:rPr>
        <w:t>columns</w:t>
      </w:r>
      <w:r w:rsidR="006229C2">
        <w:rPr>
          <w:rFonts w:ascii="Arial" w:hAnsi="Arial"/>
        </w:rPr>
        <w:t xml:space="preserve"> </w:t>
      </w:r>
      <w:r>
        <w:rPr>
          <w:rFonts w:ascii="Arial" w:hAnsi="Arial"/>
        </w:rPr>
        <w:t xml:space="preserve">left blank. </w:t>
      </w:r>
      <w:r w:rsidR="00167C14">
        <w:rPr>
          <w:rFonts w:ascii="Arial" w:hAnsi="Arial"/>
        </w:rPr>
        <w:t xml:space="preserve">Generally, these types of investments will meet the criteria in </w:t>
      </w:r>
      <w:r w:rsidR="00ED795D">
        <w:rPr>
          <w:rFonts w:ascii="Arial" w:hAnsi="Arial"/>
        </w:rPr>
        <w:t>GASB Codification Section I50.127-.130</w:t>
      </w:r>
      <w:r w:rsidR="00167C14">
        <w:rPr>
          <w:rFonts w:ascii="Arial" w:hAnsi="Arial"/>
        </w:rPr>
        <w:t xml:space="preserve">. </w:t>
      </w:r>
      <w:r w:rsidR="00D4119B">
        <w:rPr>
          <w:rFonts w:ascii="Arial" w:hAnsi="Arial"/>
        </w:rPr>
        <w:t>For investments</w:t>
      </w:r>
      <w:r w:rsidR="009F52A2">
        <w:rPr>
          <w:rFonts w:ascii="Arial" w:hAnsi="Arial"/>
        </w:rPr>
        <w:t xml:space="preserve"> measured</w:t>
      </w:r>
      <w:r w:rsidR="00D4119B">
        <w:rPr>
          <w:rFonts w:ascii="Arial" w:hAnsi="Arial"/>
        </w:rPr>
        <w:t xml:space="preserve"> at NAV</w:t>
      </w:r>
      <w:r>
        <w:rPr>
          <w:rFonts w:ascii="Arial" w:hAnsi="Arial"/>
        </w:rPr>
        <w:t xml:space="preserve"> per share (or its equivalent)</w:t>
      </w:r>
      <w:r w:rsidR="00D4119B">
        <w:rPr>
          <w:rFonts w:ascii="Arial" w:hAnsi="Arial"/>
        </w:rPr>
        <w:t xml:space="preserve"> </w:t>
      </w:r>
      <w:r w:rsidR="009F52A2">
        <w:rPr>
          <w:rFonts w:ascii="Arial" w:hAnsi="Arial"/>
        </w:rPr>
        <w:t xml:space="preserve">that do not meet the criteria in </w:t>
      </w:r>
      <w:r w:rsidR="00ED795D">
        <w:rPr>
          <w:rFonts w:ascii="Arial" w:hAnsi="Arial"/>
        </w:rPr>
        <w:t>GASB Codification Section I50.127-.130</w:t>
      </w:r>
      <w:r w:rsidR="009F52A2">
        <w:rPr>
          <w:rFonts w:ascii="Arial" w:hAnsi="Arial"/>
        </w:rPr>
        <w:t xml:space="preserve">, </w:t>
      </w:r>
      <w:r>
        <w:rPr>
          <w:rFonts w:ascii="Arial" w:hAnsi="Arial"/>
        </w:rPr>
        <w:t xml:space="preserve">categorize </w:t>
      </w:r>
      <w:r w:rsidR="009F52A2">
        <w:rPr>
          <w:rFonts w:ascii="Arial" w:hAnsi="Arial"/>
        </w:rPr>
        <w:t xml:space="preserve">the </w:t>
      </w:r>
      <w:r w:rsidR="00324E1F">
        <w:rPr>
          <w:rFonts w:ascii="Arial" w:hAnsi="Arial"/>
        </w:rPr>
        <w:t>FV</w:t>
      </w:r>
      <w:r w:rsidR="00431528">
        <w:rPr>
          <w:rFonts w:ascii="Arial" w:hAnsi="Arial"/>
        </w:rPr>
        <w:t xml:space="preserve"> measurement in each </w:t>
      </w:r>
      <w:r w:rsidR="009F52A2">
        <w:rPr>
          <w:rFonts w:ascii="Arial" w:hAnsi="Arial"/>
        </w:rPr>
        <w:t xml:space="preserve">level of </w:t>
      </w:r>
      <w:r w:rsidR="00324E1F">
        <w:rPr>
          <w:rFonts w:ascii="Arial" w:hAnsi="Arial"/>
        </w:rPr>
        <w:t>FV</w:t>
      </w:r>
      <w:r w:rsidR="009F52A2">
        <w:rPr>
          <w:rFonts w:ascii="Arial" w:hAnsi="Arial"/>
        </w:rPr>
        <w:t xml:space="preserve"> hierarchy</w:t>
      </w:r>
      <w:r w:rsidR="00431528">
        <w:rPr>
          <w:rFonts w:ascii="Arial" w:hAnsi="Arial"/>
        </w:rPr>
        <w:t>, t</w:t>
      </w:r>
      <w:r w:rsidR="00EA15FD">
        <w:rPr>
          <w:rFonts w:ascii="Arial" w:hAnsi="Arial"/>
        </w:rPr>
        <w:t xml:space="preserve">hat </w:t>
      </w:r>
      <w:proofErr w:type="gramStart"/>
      <w:r w:rsidR="00EA15FD">
        <w:rPr>
          <w:rFonts w:ascii="Arial" w:hAnsi="Arial"/>
        </w:rPr>
        <w:t>applies,</w:t>
      </w:r>
      <w:proofErr w:type="gramEnd"/>
      <w:r w:rsidR="00EA15FD">
        <w:rPr>
          <w:rFonts w:ascii="Arial" w:hAnsi="Arial"/>
        </w:rPr>
        <w:t xml:space="preserve"> in its entirety (</w:t>
      </w:r>
      <w:r w:rsidR="00B3567E">
        <w:rPr>
          <w:rFonts w:ascii="Arial" w:hAnsi="Arial"/>
        </w:rPr>
        <w:t>generally</w:t>
      </w:r>
      <w:r w:rsidR="00431528" w:rsidRPr="002D20AE">
        <w:rPr>
          <w:rFonts w:ascii="Arial" w:hAnsi="Arial"/>
        </w:rPr>
        <w:t xml:space="preserve"> Level 3</w:t>
      </w:r>
      <w:r w:rsidR="00431528">
        <w:rPr>
          <w:rFonts w:ascii="Arial" w:hAnsi="Arial"/>
        </w:rPr>
        <w:t>)</w:t>
      </w:r>
      <w:r w:rsidR="009F52A2">
        <w:rPr>
          <w:rFonts w:ascii="Arial" w:hAnsi="Arial"/>
        </w:rPr>
        <w:t xml:space="preserve">. </w:t>
      </w:r>
    </w:p>
    <w:p w14:paraId="67B79D7C" w14:textId="77777777" w:rsidR="00167C14" w:rsidRDefault="00167C14" w:rsidP="001E0423">
      <w:pPr>
        <w:tabs>
          <w:tab w:val="left" w:pos="576"/>
        </w:tabs>
        <w:spacing w:line="216" w:lineRule="atLeast"/>
        <w:jc w:val="both"/>
        <w:rPr>
          <w:rFonts w:ascii="Arial" w:hAnsi="Arial"/>
        </w:rPr>
      </w:pPr>
    </w:p>
    <w:p w14:paraId="0A218899" w14:textId="77777777" w:rsidR="00167C14" w:rsidRDefault="00167C14" w:rsidP="00167C14">
      <w:pPr>
        <w:tabs>
          <w:tab w:val="left" w:pos="576"/>
        </w:tabs>
        <w:spacing w:line="216" w:lineRule="atLeast"/>
        <w:jc w:val="both"/>
        <w:rPr>
          <w:rFonts w:ascii="Arial" w:hAnsi="Arial"/>
        </w:rPr>
      </w:pPr>
      <w:r>
        <w:rPr>
          <w:rFonts w:ascii="Arial" w:hAnsi="Arial"/>
        </w:rPr>
        <w:t>Investments as a position in an External Investment Pool section:</w:t>
      </w:r>
    </w:p>
    <w:p w14:paraId="4382144C" w14:textId="77777777" w:rsidR="008115C1" w:rsidRDefault="00167C14" w:rsidP="008115C1">
      <w:pPr>
        <w:tabs>
          <w:tab w:val="left" w:pos="576"/>
        </w:tabs>
        <w:spacing w:line="216" w:lineRule="atLeast"/>
        <w:jc w:val="both"/>
        <w:rPr>
          <w:rFonts w:ascii="Arial" w:hAnsi="Arial"/>
        </w:rPr>
      </w:pPr>
      <w:r>
        <w:rPr>
          <w:rFonts w:ascii="Arial" w:hAnsi="Arial"/>
        </w:rPr>
        <w:t xml:space="preserve">The level of fair value hierarchy is not required to be disclosed for a participant’s position in an external investment pool. See GASB </w:t>
      </w:r>
      <w:r w:rsidR="00ED795D">
        <w:rPr>
          <w:rFonts w:ascii="Arial" w:hAnsi="Arial"/>
        </w:rPr>
        <w:t>Codification Section I50.713-9</w:t>
      </w:r>
      <w:r>
        <w:rPr>
          <w:rFonts w:ascii="Arial" w:hAnsi="Arial"/>
        </w:rPr>
        <w:t xml:space="preserve">. A university’s position in the UNC Investment Fund is exempt from leveling disclosures. </w:t>
      </w:r>
    </w:p>
    <w:p w14:paraId="705182B8" w14:textId="77777777" w:rsidR="00167C14" w:rsidRDefault="00167C14" w:rsidP="001E0423">
      <w:pPr>
        <w:tabs>
          <w:tab w:val="left" w:pos="576"/>
        </w:tabs>
        <w:spacing w:line="216" w:lineRule="atLeast"/>
        <w:jc w:val="both"/>
        <w:rPr>
          <w:rFonts w:ascii="Arial" w:hAnsi="Arial"/>
        </w:rPr>
      </w:pPr>
    </w:p>
    <w:p w14:paraId="0210C841" w14:textId="77777777" w:rsidR="001E0423" w:rsidRDefault="008A59CD" w:rsidP="001E0423">
      <w:pPr>
        <w:tabs>
          <w:tab w:val="left" w:pos="576"/>
        </w:tabs>
        <w:spacing w:line="216" w:lineRule="atLeast"/>
        <w:jc w:val="both"/>
        <w:rPr>
          <w:rFonts w:ascii="Arial" w:hAnsi="Arial"/>
          <w:u w:val="single"/>
        </w:rPr>
      </w:pPr>
      <w:r>
        <w:rPr>
          <w:rFonts w:ascii="Arial" w:hAnsi="Arial"/>
          <w:u w:val="single"/>
        </w:rPr>
        <w:t>Amount Not Reported at Fair Value (</w:t>
      </w:r>
      <w:r w:rsidR="001E0423" w:rsidRPr="001E0423">
        <w:rPr>
          <w:rFonts w:ascii="Arial" w:hAnsi="Arial"/>
          <w:u w:val="single"/>
        </w:rPr>
        <w:t>Column E</w:t>
      </w:r>
      <w:r>
        <w:rPr>
          <w:rFonts w:ascii="Arial" w:hAnsi="Arial"/>
          <w:u w:val="single"/>
        </w:rPr>
        <w:t>)</w:t>
      </w:r>
    </w:p>
    <w:p w14:paraId="58DF1F62" w14:textId="77777777" w:rsidR="00864E31" w:rsidRDefault="001E0423" w:rsidP="001E0423">
      <w:pPr>
        <w:tabs>
          <w:tab w:val="left" w:pos="576"/>
        </w:tabs>
        <w:spacing w:line="216" w:lineRule="atLeast"/>
        <w:jc w:val="both"/>
        <w:rPr>
          <w:rFonts w:ascii="Arial" w:hAnsi="Arial"/>
        </w:rPr>
      </w:pPr>
      <w:r>
        <w:rPr>
          <w:rFonts w:ascii="Arial" w:hAnsi="Arial"/>
        </w:rPr>
        <w:t xml:space="preserve">If amounts in column </w:t>
      </w:r>
      <w:r w:rsidR="00324E1F">
        <w:rPr>
          <w:rFonts w:ascii="Arial" w:hAnsi="Arial"/>
        </w:rPr>
        <w:t>A are not reported at FV</w:t>
      </w:r>
      <w:r>
        <w:rPr>
          <w:rFonts w:ascii="Arial" w:hAnsi="Arial"/>
        </w:rPr>
        <w:t xml:space="preserve"> provide the amount that is not at </w:t>
      </w:r>
      <w:r w:rsidR="00324E1F">
        <w:rPr>
          <w:rFonts w:ascii="Arial" w:hAnsi="Arial"/>
        </w:rPr>
        <w:t>FV</w:t>
      </w:r>
      <w:r>
        <w:rPr>
          <w:rFonts w:ascii="Arial" w:hAnsi="Arial"/>
        </w:rPr>
        <w:t xml:space="preserve"> in column E. If </w:t>
      </w:r>
      <w:proofErr w:type="gramStart"/>
      <w:r>
        <w:rPr>
          <w:rFonts w:ascii="Arial" w:hAnsi="Arial"/>
        </w:rPr>
        <w:t>amounts</w:t>
      </w:r>
      <w:proofErr w:type="gramEnd"/>
      <w:r>
        <w:rPr>
          <w:rFonts w:ascii="Arial" w:hAnsi="Arial"/>
        </w:rPr>
        <w:t xml:space="preserve"> reported in column E exceed $1 million, complete</w:t>
      </w:r>
      <w:r w:rsidR="004C5AC4">
        <w:rPr>
          <w:rFonts w:ascii="Arial" w:hAnsi="Arial"/>
        </w:rPr>
        <w:t xml:space="preserve"> the 756</w:t>
      </w:r>
      <w:r>
        <w:rPr>
          <w:rFonts w:ascii="Arial" w:hAnsi="Arial"/>
        </w:rPr>
        <w:t xml:space="preserve"> Worksheet. </w:t>
      </w:r>
    </w:p>
    <w:p w14:paraId="02C3CE2C" w14:textId="77777777" w:rsidR="00864E31" w:rsidRDefault="00864E31" w:rsidP="001E0423">
      <w:pPr>
        <w:tabs>
          <w:tab w:val="left" w:pos="576"/>
        </w:tabs>
        <w:spacing w:line="216" w:lineRule="atLeast"/>
        <w:jc w:val="both"/>
        <w:rPr>
          <w:rFonts w:ascii="Arial" w:hAnsi="Arial"/>
        </w:rPr>
      </w:pPr>
    </w:p>
    <w:p w14:paraId="2CC910C1" w14:textId="77777777" w:rsidR="001E0423" w:rsidRDefault="001E0423" w:rsidP="001E0423">
      <w:pPr>
        <w:tabs>
          <w:tab w:val="left" w:pos="576"/>
        </w:tabs>
        <w:spacing w:line="216" w:lineRule="atLeast"/>
        <w:jc w:val="both"/>
        <w:rPr>
          <w:rFonts w:ascii="Arial" w:hAnsi="Arial"/>
        </w:rPr>
      </w:pPr>
      <w:r>
        <w:rPr>
          <w:rFonts w:ascii="Arial" w:hAnsi="Arial"/>
        </w:rPr>
        <w:t xml:space="preserve">The sum of columns B, C, D, &amp; E should equal column A. </w:t>
      </w:r>
    </w:p>
    <w:p w14:paraId="38947A62" w14:textId="77777777" w:rsidR="001E0423" w:rsidRDefault="001E0423" w:rsidP="001E0423">
      <w:pPr>
        <w:tabs>
          <w:tab w:val="left" w:pos="576"/>
        </w:tabs>
        <w:spacing w:line="216" w:lineRule="atLeast"/>
        <w:jc w:val="both"/>
        <w:rPr>
          <w:rFonts w:ascii="Arial" w:hAnsi="Arial"/>
        </w:rPr>
      </w:pPr>
    </w:p>
    <w:p w14:paraId="3327C9E9" w14:textId="77777777" w:rsidR="001E0423" w:rsidRDefault="008A59CD" w:rsidP="001E0423">
      <w:pPr>
        <w:tabs>
          <w:tab w:val="left" w:pos="576"/>
        </w:tabs>
        <w:spacing w:line="216" w:lineRule="atLeast"/>
        <w:jc w:val="both"/>
        <w:rPr>
          <w:rFonts w:ascii="Arial" w:hAnsi="Arial"/>
          <w:u w:val="single"/>
        </w:rPr>
      </w:pPr>
      <w:r w:rsidRPr="009EA386">
        <w:rPr>
          <w:rFonts w:ascii="Arial" w:hAnsi="Arial"/>
          <w:u w:val="single"/>
        </w:rPr>
        <w:t>Valuation Technique (Column F)</w:t>
      </w:r>
    </w:p>
    <w:p w14:paraId="1879ADFD" w14:textId="77777777" w:rsidR="00117858" w:rsidRDefault="00117858" w:rsidP="001E0423">
      <w:pPr>
        <w:tabs>
          <w:tab w:val="left" w:pos="576"/>
        </w:tabs>
        <w:spacing w:line="216" w:lineRule="atLeast"/>
        <w:jc w:val="both"/>
        <w:rPr>
          <w:rFonts w:ascii="Arial" w:hAnsi="Arial"/>
        </w:rPr>
      </w:pPr>
      <w:r w:rsidRPr="009EA386">
        <w:rPr>
          <w:rFonts w:ascii="Arial" w:hAnsi="Arial"/>
        </w:rPr>
        <w:t xml:space="preserve">Valuation techniques </w:t>
      </w:r>
      <w:r w:rsidR="00324E1F" w:rsidRPr="009EA386">
        <w:rPr>
          <w:rFonts w:ascii="Arial" w:hAnsi="Arial"/>
        </w:rPr>
        <w:t>are used to determine FV</w:t>
      </w:r>
      <w:r w:rsidRPr="009EA386">
        <w:rPr>
          <w:rFonts w:ascii="Arial" w:hAnsi="Arial"/>
        </w:rPr>
        <w:t xml:space="preserve">. A government should use valuation techniques that are consistent with one of three approaches to measure </w:t>
      </w:r>
      <w:r w:rsidR="00324E1F" w:rsidRPr="009EA386">
        <w:rPr>
          <w:rFonts w:ascii="Arial" w:hAnsi="Arial"/>
        </w:rPr>
        <w:t>FV</w:t>
      </w:r>
      <w:proofErr w:type="gramStart"/>
      <w:r w:rsidRPr="009EA386">
        <w:rPr>
          <w:rFonts w:ascii="Arial" w:hAnsi="Arial"/>
        </w:rPr>
        <w:t>:  the</w:t>
      </w:r>
      <w:proofErr w:type="gramEnd"/>
      <w:r w:rsidRPr="009EA386">
        <w:rPr>
          <w:rFonts w:ascii="Arial" w:hAnsi="Arial"/>
        </w:rPr>
        <w:t xml:space="preserve"> market approach, cost approach, and income approach. A single valuation technique is appropriate in some cases while multiple valuation techniques are appropriate in other cases.</w:t>
      </w:r>
      <w:r>
        <w:rPr>
          <w:rFonts w:ascii="Arial" w:hAnsi="Arial"/>
        </w:rPr>
        <w:t xml:space="preserve"> </w:t>
      </w:r>
    </w:p>
    <w:p w14:paraId="0F147B2F" w14:textId="77777777" w:rsidR="00627321" w:rsidRDefault="00627321" w:rsidP="001E0423">
      <w:pPr>
        <w:tabs>
          <w:tab w:val="left" w:pos="576"/>
        </w:tabs>
        <w:spacing w:line="216" w:lineRule="atLeast"/>
        <w:jc w:val="both"/>
        <w:rPr>
          <w:rFonts w:ascii="Arial" w:hAnsi="Arial"/>
        </w:rPr>
      </w:pPr>
    </w:p>
    <w:p w14:paraId="1FC67D5D" w14:textId="77777777" w:rsidR="00C155DB" w:rsidRDefault="00C155DB" w:rsidP="001E0423">
      <w:pPr>
        <w:tabs>
          <w:tab w:val="left" w:pos="576"/>
        </w:tabs>
        <w:spacing w:line="216" w:lineRule="atLeast"/>
        <w:jc w:val="both"/>
        <w:rPr>
          <w:rFonts w:ascii="Arial" w:hAnsi="Arial"/>
        </w:rPr>
      </w:pPr>
      <w:r>
        <w:rPr>
          <w:rFonts w:ascii="Arial" w:hAnsi="Arial"/>
        </w:rPr>
        <w:t xml:space="preserve">See the GASB 72 FRU appendix B (link above) for some common examples of valuation techniques used to value investments. </w:t>
      </w:r>
    </w:p>
    <w:p w14:paraId="1CC4109C" w14:textId="77777777" w:rsidR="00C155DB" w:rsidRDefault="00C155DB" w:rsidP="001E0423">
      <w:pPr>
        <w:tabs>
          <w:tab w:val="left" w:pos="576"/>
        </w:tabs>
        <w:spacing w:line="216" w:lineRule="atLeast"/>
        <w:jc w:val="both"/>
        <w:rPr>
          <w:rFonts w:ascii="Arial" w:hAnsi="Arial"/>
        </w:rPr>
      </w:pPr>
    </w:p>
    <w:p w14:paraId="28BDF083" w14:textId="051CFF10" w:rsidR="0003018F" w:rsidRDefault="006A4874" w:rsidP="0003018F">
      <w:pPr>
        <w:tabs>
          <w:tab w:val="left" w:pos="576"/>
        </w:tabs>
        <w:spacing w:line="216" w:lineRule="atLeast"/>
        <w:jc w:val="both"/>
        <w:rPr>
          <w:rFonts w:ascii="Arial" w:hAnsi="Arial"/>
        </w:rPr>
      </w:pPr>
      <w:r>
        <w:rPr>
          <w:rFonts w:ascii="Arial" w:hAnsi="Arial"/>
        </w:rPr>
        <w:t xml:space="preserve">No valuation technique should be selected for level 1 investments. If the investments are categorized as level 1, then quoted market prices </w:t>
      </w:r>
      <w:proofErr w:type="gramStart"/>
      <w:r>
        <w:rPr>
          <w:rFonts w:ascii="Arial" w:hAnsi="Arial"/>
        </w:rPr>
        <w:t>is</w:t>
      </w:r>
      <w:proofErr w:type="gramEnd"/>
      <w:r>
        <w:rPr>
          <w:rFonts w:ascii="Arial" w:hAnsi="Arial"/>
        </w:rPr>
        <w:t xml:space="preserve"> the valuation technique. </w:t>
      </w:r>
      <w:r w:rsidRPr="00E5111F">
        <w:rPr>
          <w:rFonts w:ascii="Arial" w:hAnsi="Arial"/>
        </w:rPr>
        <w:t xml:space="preserve">Select the valuation technique from the </w:t>
      </w:r>
      <w:proofErr w:type="gramStart"/>
      <w:r w:rsidRPr="00E5111F">
        <w:rPr>
          <w:rFonts w:ascii="Arial" w:hAnsi="Arial"/>
        </w:rPr>
        <w:t>drop down</w:t>
      </w:r>
      <w:proofErr w:type="gramEnd"/>
      <w:r w:rsidRPr="00E5111F">
        <w:rPr>
          <w:rFonts w:ascii="Arial" w:hAnsi="Arial"/>
        </w:rPr>
        <w:t xml:space="preserve"> boxes in columns G, H, I, and J for investments categorized in level 2 or level 3. </w:t>
      </w:r>
      <w:r w:rsidR="00A75E21" w:rsidRPr="00E5111F">
        <w:rPr>
          <w:rFonts w:ascii="Arial" w:hAnsi="Arial"/>
        </w:rPr>
        <w:t>This allows for up to four different techniques for each investment type. If more technique selections are needed, please contact your OSC analyst. If less than four valuation techniques are needed, select the technique beginning in column G and leave columns</w:t>
      </w:r>
      <w:r w:rsidR="00CB58E4" w:rsidRPr="00E5111F">
        <w:rPr>
          <w:rFonts w:ascii="Arial" w:hAnsi="Arial"/>
        </w:rPr>
        <w:t xml:space="preserve"> that are not needed</w:t>
      </w:r>
      <w:r w:rsidR="00A75E21" w:rsidRPr="00E5111F">
        <w:rPr>
          <w:rFonts w:ascii="Arial" w:hAnsi="Arial"/>
        </w:rPr>
        <w:t xml:space="preserve"> blank. Codes will automatically populate in the Valuation Technique, column F, based on the selections in columns G through I. </w:t>
      </w:r>
      <w:r w:rsidR="008A59CD" w:rsidRPr="00E5111F">
        <w:rPr>
          <w:rFonts w:ascii="Arial" w:hAnsi="Arial"/>
        </w:rPr>
        <w:t xml:space="preserve">If a </w:t>
      </w:r>
      <w:r w:rsidR="008A59CD" w:rsidRPr="00E5111F">
        <w:rPr>
          <w:rFonts w:ascii="Arial" w:hAnsi="Arial"/>
          <w:b/>
        </w:rPr>
        <w:t>significant</w:t>
      </w:r>
      <w:r w:rsidR="008A59CD" w:rsidRPr="00E5111F">
        <w:rPr>
          <w:rFonts w:ascii="Arial" w:hAnsi="Arial"/>
        </w:rPr>
        <w:t xml:space="preserve"> valuation technique was used to measure the investment at </w:t>
      </w:r>
      <w:r w:rsidR="00324E1F" w:rsidRPr="00E5111F">
        <w:rPr>
          <w:rFonts w:ascii="Arial" w:hAnsi="Arial"/>
        </w:rPr>
        <w:t>FV</w:t>
      </w:r>
      <w:r w:rsidR="008A59CD" w:rsidRPr="00E5111F">
        <w:rPr>
          <w:rFonts w:ascii="Arial" w:hAnsi="Arial"/>
        </w:rPr>
        <w:t xml:space="preserve"> and is not included in the </w:t>
      </w:r>
      <w:r w:rsidR="00A75E21" w:rsidRPr="00E5111F">
        <w:rPr>
          <w:rFonts w:ascii="Arial" w:hAnsi="Arial"/>
        </w:rPr>
        <w:t>drop</w:t>
      </w:r>
      <w:r w:rsidR="003F6203">
        <w:rPr>
          <w:rFonts w:ascii="Arial" w:hAnsi="Arial"/>
        </w:rPr>
        <w:t>-</w:t>
      </w:r>
      <w:r w:rsidR="00A75E21" w:rsidRPr="00E5111F">
        <w:rPr>
          <w:rFonts w:ascii="Arial" w:hAnsi="Arial"/>
        </w:rPr>
        <w:t>down boxes</w:t>
      </w:r>
      <w:r w:rsidR="008A59CD" w:rsidRPr="00E5111F">
        <w:rPr>
          <w:rFonts w:ascii="Arial" w:hAnsi="Arial"/>
        </w:rPr>
        <w:t xml:space="preserve">, </w:t>
      </w:r>
      <w:r w:rsidR="00A75E21" w:rsidRPr="00E5111F">
        <w:rPr>
          <w:rFonts w:ascii="Arial" w:hAnsi="Arial"/>
        </w:rPr>
        <w:t xml:space="preserve">select </w:t>
      </w:r>
      <w:r w:rsidR="00324E1F" w:rsidRPr="00E5111F">
        <w:rPr>
          <w:rFonts w:ascii="Arial" w:hAnsi="Arial"/>
        </w:rPr>
        <w:t>“</w:t>
      </w:r>
      <w:r w:rsidR="008A59CD" w:rsidRPr="00E5111F">
        <w:rPr>
          <w:rFonts w:ascii="Arial" w:hAnsi="Arial"/>
        </w:rPr>
        <w:t>Other</w:t>
      </w:r>
      <w:r w:rsidR="00324E1F" w:rsidRPr="00E5111F">
        <w:rPr>
          <w:rFonts w:ascii="Arial" w:hAnsi="Arial"/>
        </w:rPr>
        <w:t>”</w:t>
      </w:r>
      <w:r w:rsidR="00A75E21" w:rsidRPr="00E5111F">
        <w:rPr>
          <w:rFonts w:ascii="Arial" w:hAnsi="Arial"/>
        </w:rPr>
        <w:t xml:space="preserve"> from </w:t>
      </w:r>
      <w:r w:rsidR="00A75E21" w:rsidRPr="00E5111F">
        <w:rPr>
          <w:rFonts w:ascii="Arial" w:hAnsi="Arial"/>
        </w:rPr>
        <w:lastRenderedPageBreak/>
        <w:t>the drop</w:t>
      </w:r>
      <w:r w:rsidR="003F6203">
        <w:rPr>
          <w:rFonts w:ascii="Arial" w:hAnsi="Arial"/>
        </w:rPr>
        <w:t>-</w:t>
      </w:r>
      <w:r w:rsidR="00A75E21" w:rsidRPr="00E5111F">
        <w:rPr>
          <w:rFonts w:ascii="Arial" w:hAnsi="Arial"/>
        </w:rPr>
        <w:t xml:space="preserve">down box and </w:t>
      </w:r>
      <w:r w:rsidR="008A59CD" w:rsidRPr="00E5111F">
        <w:rPr>
          <w:rFonts w:ascii="Arial" w:hAnsi="Arial"/>
        </w:rPr>
        <w:t xml:space="preserve">complete the related </w:t>
      </w:r>
      <w:r w:rsidR="0033038E">
        <w:rPr>
          <w:rFonts w:ascii="Arial" w:hAnsi="Arial"/>
        </w:rPr>
        <w:t>A</w:t>
      </w:r>
      <w:r w:rsidR="003F6203">
        <w:rPr>
          <w:rFonts w:ascii="Arial" w:hAnsi="Arial"/>
        </w:rPr>
        <w:t>CFR</w:t>
      </w:r>
      <w:r w:rsidR="008A59CD" w:rsidRPr="00E5111F">
        <w:rPr>
          <w:rFonts w:ascii="Arial" w:hAnsi="Arial"/>
        </w:rPr>
        <w:t xml:space="preserve"> Package Narrative WS 755.</w:t>
      </w:r>
      <w:r w:rsidR="008A59CD">
        <w:rPr>
          <w:rFonts w:ascii="Arial" w:hAnsi="Arial"/>
        </w:rPr>
        <w:t xml:space="preserve"> </w:t>
      </w:r>
      <w:r w:rsidR="0003018F">
        <w:rPr>
          <w:rFonts w:ascii="Arial" w:hAnsi="Arial"/>
        </w:rPr>
        <w:t>For the UNC Investment Fund, the valuation technique</w:t>
      </w:r>
      <w:r w:rsidR="009830BF">
        <w:rPr>
          <w:rFonts w:ascii="Arial" w:hAnsi="Arial"/>
        </w:rPr>
        <w:t xml:space="preserve"> is not </w:t>
      </w:r>
      <w:proofErr w:type="gramStart"/>
      <w:r w:rsidR="009830BF">
        <w:rPr>
          <w:rFonts w:ascii="Arial" w:hAnsi="Arial"/>
        </w:rPr>
        <w:t>required</w:t>
      </w:r>
      <w:proofErr w:type="gramEnd"/>
      <w:r w:rsidR="0051200A">
        <w:rPr>
          <w:rFonts w:ascii="Arial" w:hAnsi="Arial"/>
        </w:rPr>
        <w:t xml:space="preserve"> and no additional information is necessary in the narrative. </w:t>
      </w:r>
    </w:p>
    <w:p w14:paraId="19C0A224" w14:textId="77777777" w:rsidR="00C72D1C" w:rsidRDefault="00C72D1C" w:rsidP="001E0423">
      <w:pPr>
        <w:tabs>
          <w:tab w:val="left" w:pos="576"/>
        </w:tabs>
        <w:spacing w:line="216" w:lineRule="atLeast"/>
        <w:jc w:val="both"/>
        <w:rPr>
          <w:rFonts w:ascii="Arial" w:hAnsi="Arial"/>
        </w:rPr>
      </w:pPr>
    </w:p>
    <w:p w14:paraId="0E18FCAC" w14:textId="77777777" w:rsidR="00C72D1C" w:rsidRPr="00C72D1C" w:rsidRDefault="00C72D1C" w:rsidP="00C72D1C">
      <w:pPr>
        <w:tabs>
          <w:tab w:val="left" w:pos="576"/>
        </w:tabs>
        <w:spacing w:line="216" w:lineRule="atLeast"/>
        <w:jc w:val="both"/>
        <w:rPr>
          <w:rFonts w:ascii="Arial" w:hAnsi="Arial"/>
          <w:u w:val="single"/>
        </w:rPr>
      </w:pPr>
      <w:r w:rsidRPr="00C72D1C">
        <w:rPr>
          <w:rFonts w:ascii="Arial" w:hAnsi="Arial"/>
          <w:u w:val="single"/>
        </w:rPr>
        <w:t>Unallocated insurance contracts and Money market mutual funds:</w:t>
      </w:r>
    </w:p>
    <w:p w14:paraId="6FA211CC" w14:textId="77777777" w:rsidR="00C72D1C" w:rsidRDefault="00C72D1C" w:rsidP="00C72D1C">
      <w:pPr>
        <w:tabs>
          <w:tab w:val="left" w:pos="576"/>
        </w:tabs>
        <w:spacing w:line="216" w:lineRule="atLeast"/>
        <w:jc w:val="both"/>
        <w:rPr>
          <w:rFonts w:ascii="Arial" w:hAnsi="Arial"/>
        </w:rPr>
      </w:pPr>
      <w:r>
        <w:rPr>
          <w:rFonts w:ascii="Arial" w:hAnsi="Arial"/>
        </w:rPr>
        <w:t xml:space="preserve">Investments in unallocated insurance contracts should be reported as interest-earning investment contracts according to the provisions of </w:t>
      </w:r>
      <w:r w:rsidR="00307D7E">
        <w:rPr>
          <w:rFonts w:ascii="Arial" w:hAnsi="Arial"/>
        </w:rPr>
        <w:t>GASB Codification Section I50.121</w:t>
      </w:r>
      <w:r>
        <w:rPr>
          <w:rFonts w:ascii="Arial" w:hAnsi="Arial"/>
        </w:rPr>
        <w:t xml:space="preserve">. If the unallocated insurance contract is a participating interest-earning investment contract, then it should be measured at FV and GASB 72 disclosures apply. If it is a nonparticipating interest-earning investment contract, it should be measured using a cost-based measure and GASB </w:t>
      </w:r>
      <w:r w:rsidR="00EC3209">
        <w:rPr>
          <w:rFonts w:ascii="Arial" w:hAnsi="Arial"/>
        </w:rPr>
        <w:t xml:space="preserve">72 disclosures would not apply. The amount not at FV should be reported in column E as explained above. </w:t>
      </w:r>
    </w:p>
    <w:p w14:paraId="3791AB9B" w14:textId="77777777" w:rsidR="00C72D1C" w:rsidRDefault="00C72D1C" w:rsidP="00C72D1C">
      <w:pPr>
        <w:tabs>
          <w:tab w:val="left" w:pos="576"/>
        </w:tabs>
        <w:spacing w:line="216" w:lineRule="atLeast"/>
        <w:jc w:val="both"/>
        <w:rPr>
          <w:rFonts w:ascii="Arial" w:hAnsi="Arial"/>
        </w:rPr>
      </w:pPr>
    </w:p>
    <w:p w14:paraId="6A7133BF" w14:textId="77777777" w:rsidR="00C72D1C" w:rsidRPr="006229C2" w:rsidRDefault="00C72D1C" w:rsidP="00C72D1C">
      <w:pPr>
        <w:tabs>
          <w:tab w:val="left" w:pos="576"/>
        </w:tabs>
        <w:spacing w:line="216" w:lineRule="atLeast"/>
        <w:jc w:val="both"/>
        <w:rPr>
          <w:rFonts w:ascii="Arial" w:hAnsi="Arial"/>
        </w:rPr>
      </w:pPr>
      <w:r>
        <w:rPr>
          <w:rFonts w:ascii="Arial" w:hAnsi="Arial"/>
        </w:rPr>
        <w:t xml:space="preserve">Investments in </w:t>
      </w:r>
      <w:r w:rsidR="009F3779">
        <w:rPr>
          <w:rFonts w:ascii="Arial" w:hAnsi="Arial"/>
        </w:rPr>
        <w:t>g</w:t>
      </w:r>
      <w:r>
        <w:rPr>
          <w:rFonts w:ascii="Arial" w:hAnsi="Arial"/>
        </w:rPr>
        <w:t>overnment money market mutual funds and retail money market mutual funds are measured at a $1 NAV and measured using</w:t>
      </w:r>
      <w:r w:rsidR="00BC06ED">
        <w:rPr>
          <w:rFonts w:ascii="Arial" w:hAnsi="Arial"/>
        </w:rPr>
        <w:t xml:space="preserve"> the</w:t>
      </w:r>
      <w:r>
        <w:rPr>
          <w:rFonts w:ascii="Arial" w:hAnsi="Arial"/>
        </w:rPr>
        <w:t xml:space="preserve"> amortized cost</w:t>
      </w:r>
      <w:r w:rsidR="00BC06ED">
        <w:rPr>
          <w:rFonts w:ascii="Arial" w:hAnsi="Arial"/>
        </w:rPr>
        <w:t xml:space="preserve"> method</w:t>
      </w:r>
      <w:r>
        <w:rPr>
          <w:rFonts w:ascii="Arial" w:hAnsi="Arial"/>
        </w:rPr>
        <w:t xml:space="preserve">. GASB 72 disclosures do not apply to </w:t>
      </w:r>
      <w:proofErr w:type="gramStart"/>
      <w:r>
        <w:rPr>
          <w:rFonts w:ascii="Arial" w:hAnsi="Arial"/>
        </w:rPr>
        <w:t>these money marke</w:t>
      </w:r>
      <w:r w:rsidR="00BC06ED">
        <w:rPr>
          <w:rFonts w:ascii="Arial" w:hAnsi="Arial"/>
        </w:rPr>
        <w:t>t</w:t>
      </w:r>
      <w:proofErr w:type="gramEnd"/>
      <w:r w:rsidR="00BC06ED">
        <w:rPr>
          <w:rFonts w:ascii="Arial" w:hAnsi="Arial"/>
        </w:rPr>
        <w:t xml:space="preserve"> mutual funds. </w:t>
      </w:r>
      <w:r w:rsidR="00EC3209">
        <w:rPr>
          <w:rFonts w:ascii="Arial" w:hAnsi="Arial"/>
        </w:rPr>
        <w:t xml:space="preserve">The amount not at FV should be reported in column E as explained above. </w:t>
      </w:r>
      <w:r w:rsidR="00BC06ED">
        <w:rPr>
          <w:rFonts w:ascii="Arial" w:hAnsi="Arial"/>
        </w:rPr>
        <w:t>Investments in i</w:t>
      </w:r>
      <w:r>
        <w:rPr>
          <w:rFonts w:ascii="Arial" w:hAnsi="Arial"/>
        </w:rPr>
        <w:t>nstitutional prime money market mutual funds and municipal money market mutual</w:t>
      </w:r>
      <w:r w:rsidR="00BC06ED">
        <w:rPr>
          <w:rFonts w:ascii="Arial" w:hAnsi="Arial"/>
        </w:rPr>
        <w:t xml:space="preserve"> funds</w:t>
      </w:r>
      <w:r>
        <w:rPr>
          <w:rFonts w:ascii="Arial" w:hAnsi="Arial"/>
        </w:rPr>
        <w:t xml:space="preserve"> that do not meet the </w:t>
      </w:r>
      <w:r w:rsidR="00317807">
        <w:rPr>
          <w:rFonts w:ascii="Arial" w:hAnsi="Arial"/>
        </w:rPr>
        <w:t>definition</w:t>
      </w:r>
      <w:r>
        <w:rPr>
          <w:rFonts w:ascii="Arial" w:hAnsi="Arial"/>
        </w:rPr>
        <w:t xml:space="preserve"> of retail money market mutual funds</w:t>
      </w:r>
      <w:r w:rsidR="00BC06ED">
        <w:rPr>
          <w:rFonts w:ascii="Arial" w:hAnsi="Arial"/>
        </w:rPr>
        <w:t>,</w:t>
      </w:r>
      <w:r>
        <w:rPr>
          <w:rFonts w:ascii="Arial" w:hAnsi="Arial"/>
        </w:rPr>
        <w:t xml:space="preserve"> are measured using a floating NAV. Thes</w:t>
      </w:r>
      <w:r w:rsidR="00317807">
        <w:rPr>
          <w:rFonts w:ascii="Arial" w:hAnsi="Arial"/>
        </w:rPr>
        <w:t xml:space="preserve">e mutual funds can no longer be </w:t>
      </w:r>
      <w:r>
        <w:rPr>
          <w:rFonts w:ascii="Arial" w:hAnsi="Arial"/>
        </w:rPr>
        <w:t xml:space="preserve">valued </w:t>
      </w:r>
      <w:r w:rsidR="00BC06ED">
        <w:rPr>
          <w:rFonts w:ascii="Arial" w:hAnsi="Arial"/>
        </w:rPr>
        <w:t>at</w:t>
      </w:r>
      <w:r>
        <w:rPr>
          <w:rFonts w:ascii="Arial" w:hAnsi="Arial"/>
        </w:rPr>
        <w:t xml:space="preserve"> </w:t>
      </w:r>
      <w:r w:rsidR="00317807">
        <w:rPr>
          <w:rFonts w:ascii="Arial" w:hAnsi="Arial"/>
        </w:rPr>
        <w:t xml:space="preserve">amortized cost </w:t>
      </w:r>
      <w:r w:rsidR="00BC06ED">
        <w:rPr>
          <w:rFonts w:ascii="Arial" w:hAnsi="Arial"/>
        </w:rPr>
        <w:t xml:space="preserve">thus </w:t>
      </w:r>
      <w:r>
        <w:rPr>
          <w:rFonts w:ascii="Arial" w:hAnsi="Arial"/>
        </w:rPr>
        <w:t>GASB 72 disclosures</w:t>
      </w:r>
      <w:r w:rsidR="00317807">
        <w:rPr>
          <w:rFonts w:ascii="Arial" w:hAnsi="Arial"/>
        </w:rPr>
        <w:t xml:space="preserve"> </w:t>
      </w:r>
      <w:r>
        <w:rPr>
          <w:rFonts w:ascii="Arial" w:hAnsi="Arial"/>
        </w:rPr>
        <w:t xml:space="preserve">apply. However, it is likely that the difference between cost and FV are </w:t>
      </w:r>
      <w:r w:rsidR="00523C72">
        <w:rPr>
          <w:rFonts w:ascii="Arial" w:hAnsi="Arial"/>
        </w:rPr>
        <w:t>immaterial. Use professional judgment to determine if the difference is material and require</w:t>
      </w:r>
      <w:r w:rsidR="00651C58">
        <w:rPr>
          <w:rFonts w:ascii="Arial" w:hAnsi="Arial"/>
        </w:rPr>
        <w:t>s</w:t>
      </w:r>
      <w:r w:rsidR="00523C72">
        <w:rPr>
          <w:rFonts w:ascii="Arial" w:hAnsi="Arial"/>
        </w:rPr>
        <w:t xml:space="preserve"> FV disclosures. </w:t>
      </w:r>
    </w:p>
    <w:p w14:paraId="13DB0972" w14:textId="77777777" w:rsidR="008A59CD" w:rsidRDefault="008A59CD" w:rsidP="001E0423">
      <w:pPr>
        <w:tabs>
          <w:tab w:val="left" w:pos="576"/>
        </w:tabs>
        <w:spacing w:line="216" w:lineRule="atLeast"/>
        <w:jc w:val="both"/>
        <w:rPr>
          <w:rFonts w:ascii="Arial" w:hAnsi="Arial"/>
        </w:rPr>
      </w:pPr>
    </w:p>
    <w:p w14:paraId="550612D6" w14:textId="77777777" w:rsidR="008A59CD" w:rsidRDefault="008A59CD" w:rsidP="001E0423">
      <w:pPr>
        <w:tabs>
          <w:tab w:val="left" w:pos="576"/>
        </w:tabs>
        <w:spacing w:line="216" w:lineRule="atLeast"/>
        <w:jc w:val="both"/>
        <w:rPr>
          <w:rFonts w:ascii="Arial" w:hAnsi="Arial"/>
        </w:rPr>
      </w:pPr>
      <w:r w:rsidRPr="008A59CD">
        <w:rPr>
          <w:rFonts w:ascii="Arial" w:hAnsi="Arial"/>
          <w:u w:val="single"/>
        </w:rPr>
        <w:t>Other disclosures:</w:t>
      </w:r>
      <w:r>
        <w:rPr>
          <w:rFonts w:ascii="Arial" w:hAnsi="Arial"/>
        </w:rPr>
        <w:t xml:space="preserve">  </w:t>
      </w:r>
    </w:p>
    <w:p w14:paraId="650D6CF6" w14:textId="0CC0B7BB" w:rsidR="008A59CD" w:rsidRDefault="008A59CD" w:rsidP="008A59CD">
      <w:pPr>
        <w:rPr>
          <w:rFonts w:ascii="Arial" w:hAnsi="Arial"/>
        </w:rPr>
      </w:pPr>
      <w:r>
        <w:rPr>
          <w:rFonts w:ascii="Arial" w:hAnsi="Arial"/>
        </w:rPr>
        <w:t xml:space="preserve">If your entity had a change in valuation technique that had a significant impact on the result, then complete the </w:t>
      </w:r>
      <w:r w:rsidR="0033038E">
        <w:rPr>
          <w:rFonts w:ascii="Arial" w:hAnsi="Arial"/>
        </w:rPr>
        <w:t>A</w:t>
      </w:r>
      <w:r w:rsidR="003F6203">
        <w:rPr>
          <w:rFonts w:ascii="Arial" w:hAnsi="Arial"/>
        </w:rPr>
        <w:t>CFR</w:t>
      </w:r>
      <w:r>
        <w:rPr>
          <w:rFonts w:ascii="Arial" w:hAnsi="Arial"/>
        </w:rPr>
        <w:t xml:space="preserve"> Package Narrative WS 755. For example, </w:t>
      </w:r>
      <w:r w:rsidRPr="008A59CD">
        <w:rPr>
          <w:rFonts w:ascii="Arial" w:hAnsi="Arial"/>
        </w:rPr>
        <w:t>changing from an expected cash flow technique to a relief from royalty technique or the use of an additional valuation technique.</w:t>
      </w:r>
    </w:p>
    <w:p w14:paraId="4F1A15AC" w14:textId="77777777" w:rsidR="008A59CD" w:rsidRDefault="008A59CD" w:rsidP="001E0423">
      <w:pPr>
        <w:tabs>
          <w:tab w:val="left" w:pos="576"/>
        </w:tabs>
        <w:spacing w:line="216" w:lineRule="atLeast"/>
        <w:jc w:val="both"/>
        <w:rPr>
          <w:rFonts w:ascii="Arial" w:hAnsi="Arial"/>
        </w:rPr>
      </w:pPr>
    </w:p>
    <w:p w14:paraId="36BE4E70" w14:textId="6B531831" w:rsidR="008A59CD" w:rsidRDefault="008A59CD" w:rsidP="001E0423">
      <w:pPr>
        <w:tabs>
          <w:tab w:val="left" w:pos="576"/>
        </w:tabs>
        <w:spacing w:line="216" w:lineRule="atLeast"/>
        <w:jc w:val="both"/>
        <w:rPr>
          <w:rFonts w:ascii="Arial" w:hAnsi="Arial"/>
        </w:rPr>
      </w:pPr>
      <w:r>
        <w:rPr>
          <w:rFonts w:ascii="Arial" w:hAnsi="Arial"/>
        </w:rPr>
        <w:t xml:space="preserve">If your entity reported any nonrecurring fair value measurements, then complete the </w:t>
      </w:r>
      <w:r w:rsidR="0033038E">
        <w:rPr>
          <w:rFonts w:ascii="Arial" w:hAnsi="Arial"/>
        </w:rPr>
        <w:t>A</w:t>
      </w:r>
      <w:r w:rsidR="00FA418E">
        <w:rPr>
          <w:rFonts w:ascii="Arial" w:hAnsi="Arial"/>
        </w:rPr>
        <w:t>CFR</w:t>
      </w:r>
      <w:r>
        <w:rPr>
          <w:rFonts w:ascii="Arial" w:hAnsi="Arial"/>
        </w:rPr>
        <w:t xml:space="preserve"> Package Narrative WS 755. For example, if you measured an impaired capital asset at fair value</w:t>
      </w:r>
      <w:r w:rsidR="009E7E17">
        <w:rPr>
          <w:rFonts w:ascii="Arial" w:hAnsi="Arial"/>
        </w:rPr>
        <w:t>, then additional disclosures are required</w:t>
      </w:r>
      <w:r>
        <w:rPr>
          <w:rFonts w:ascii="Arial" w:hAnsi="Arial"/>
        </w:rPr>
        <w:t xml:space="preserve">. </w:t>
      </w:r>
    </w:p>
    <w:p w14:paraId="3DD3E831" w14:textId="77777777" w:rsidR="00117858" w:rsidRDefault="00117858" w:rsidP="001E0423">
      <w:pPr>
        <w:tabs>
          <w:tab w:val="left" w:pos="576"/>
        </w:tabs>
        <w:spacing w:line="216" w:lineRule="atLeast"/>
        <w:jc w:val="both"/>
        <w:rPr>
          <w:rFonts w:ascii="Arial" w:hAnsi="Arial"/>
        </w:rPr>
      </w:pPr>
    </w:p>
    <w:p w14:paraId="057F80E9" w14:textId="77777777" w:rsidR="007D0EE9" w:rsidRPr="003A0302" w:rsidRDefault="007D0EE9" w:rsidP="007D0EE9">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 xml:space="preserve">Worksheet 756 — Investments Held Outside </w:t>
      </w:r>
      <w:proofErr w:type="gramStart"/>
      <w:r w:rsidRPr="003A0302">
        <w:rPr>
          <w:rFonts w:ascii="Arial" w:hAnsi="Arial"/>
          <w:b/>
          <w:sz w:val="22"/>
          <w:szCs w:val="22"/>
          <w:u w:val="single"/>
        </w:rPr>
        <w:t>The</w:t>
      </w:r>
      <w:proofErr w:type="gramEnd"/>
      <w:r w:rsidRPr="003A0302">
        <w:rPr>
          <w:rFonts w:ascii="Arial" w:hAnsi="Arial"/>
          <w:b/>
          <w:sz w:val="22"/>
          <w:szCs w:val="22"/>
          <w:u w:val="single"/>
        </w:rPr>
        <w:t xml:space="preserve"> State Treasurer—Valuation of Investments (Note: </w:t>
      </w:r>
      <w:proofErr w:type="gramStart"/>
      <w:r w:rsidRPr="003A0302">
        <w:rPr>
          <w:rFonts w:ascii="Arial" w:hAnsi="Arial"/>
          <w:b/>
          <w:sz w:val="22"/>
          <w:szCs w:val="22"/>
          <w:u w:val="single"/>
        </w:rPr>
        <w:t>the</w:t>
      </w:r>
      <w:proofErr w:type="gramEnd"/>
      <w:r w:rsidRPr="003A0302">
        <w:rPr>
          <w:rFonts w:ascii="Arial" w:hAnsi="Arial"/>
          <w:b/>
          <w:sz w:val="22"/>
          <w:szCs w:val="22"/>
          <w:u w:val="single"/>
        </w:rPr>
        <w:t xml:space="preserve"> Department of State Treasurer should include all investments).</w:t>
      </w:r>
    </w:p>
    <w:p w14:paraId="07812DB6" w14:textId="77777777" w:rsidR="007D0EE9" w:rsidRDefault="007D0EE9" w:rsidP="007D0EE9">
      <w:pPr>
        <w:tabs>
          <w:tab w:val="left" w:pos="432"/>
        </w:tabs>
        <w:jc w:val="both"/>
        <w:rPr>
          <w:rFonts w:ascii="Arial" w:hAnsi="Arial" w:cs="Arial"/>
        </w:rPr>
      </w:pPr>
    </w:p>
    <w:p w14:paraId="01C3420A" w14:textId="77777777" w:rsidR="007D0EE9" w:rsidRDefault="007D0EE9" w:rsidP="007D0EE9">
      <w:pPr>
        <w:tabs>
          <w:tab w:val="left" w:pos="432"/>
        </w:tabs>
        <w:jc w:val="both"/>
        <w:rPr>
          <w:rFonts w:ascii="Arial" w:hAnsi="Arial" w:cs="Arial"/>
        </w:rPr>
      </w:pPr>
      <w:r>
        <w:rPr>
          <w:rFonts w:ascii="Arial" w:hAnsi="Arial" w:cs="Arial"/>
        </w:rPr>
        <w:t>Identify investments on Worksheet 7</w:t>
      </w:r>
      <w:r w:rsidR="00267AA5">
        <w:rPr>
          <w:rFonts w:ascii="Arial" w:hAnsi="Arial" w:cs="Arial"/>
        </w:rPr>
        <w:t>10</w:t>
      </w:r>
      <w:r>
        <w:rPr>
          <w:rFonts w:ascii="Arial" w:hAnsi="Arial" w:cs="Arial"/>
        </w:rPr>
        <w:t xml:space="preserve"> (by investment type) that are not reported at fair value and have a carrying value of </w:t>
      </w:r>
      <w:r w:rsidRPr="00DC0C36">
        <w:rPr>
          <w:rFonts w:ascii="Arial" w:hAnsi="Arial" w:cs="Arial"/>
          <w:b/>
          <w:u w:val="single"/>
        </w:rPr>
        <w:t>$1 million or more</w:t>
      </w:r>
      <w:r>
        <w:rPr>
          <w:rFonts w:ascii="Arial" w:hAnsi="Arial" w:cs="Arial"/>
        </w:rPr>
        <w:t xml:space="preserve"> (see Worksheet 755, column E). </w:t>
      </w:r>
    </w:p>
    <w:p w14:paraId="3AC91F79" w14:textId="77777777" w:rsidR="007D0EE9" w:rsidRDefault="007D0EE9" w:rsidP="007D0EE9">
      <w:pPr>
        <w:tabs>
          <w:tab w:val="left" w:pos="432"/>
        </w:tabs>
        <w:jc w:val="both"/>
        <w:rPr>
          <w:rFonts w:ascii="Arial" w:hAnsi="Arial" w:cs="Arial"/>
        </w:rPr>
      </w:pPr>
    </w:p>
    <w:p w14:paraId="50C93462" w14:textId="77777777" w:rsidR="007D0EE9" w:rsidRDefault="007D0EE9" w:rsidP="007D0EE9">
      <w:pPr>
        <w:tabs>
          <w:tab w:val="left" w:pos="432"/>
        </w:tabs>
        <w:jc w:val="both"/>
        <w:rPr>
          <w:rFonts w:ascii="Arial" w:hAnsi="Arial" w:cs="Arial"/>
        </w:rPr>
      </w:pPr>
      <w:r>
        <w:rPr>
          <w:rFonts w:ascii="Arial" w:hAnsi="Arial" w:cs="Arial"/>
        </w:rPr>
        <w:t>GASB standards generally require most investments to be reported at fair value but permit or require cost-based measures as specified below:</w:t>
      </w:r>
    </w:p>
    <w:p w14:paraId="51EB72C2" w14:textId="77777777" w:rsidR="007D0EE9" w:rsidRDefault="007D0EE9" w:rsidP="007D0EE9">
      <w:pPr>
        <w:tabs>
          <w:tab w:val="left" w:pos="432"/>
        </w:tabs>
        <w:jc w:val="both"/>
        <w:rPr>
          <w:rFonts w:ascii="Arial" w:hAnsi="Arial" w:cs="Arial"/>
        </w:rPr>
      </w:pPr>
    </w:p>
    <w:p w14:paraId="509E708A" w14:textId="77777777" w:rsidR="007D0EE9" w:rsidRPr="005E41DE" w:rsidRDefault="007D0EE9" w:rsidP="007D0EE9">
      <w:pPr>
        <w:numPr>
          <w:ilvl w:val="0"/>
          <w:numId w:val="28"/>
        </w:numPr>
        <w:tabs>
          <w:tab w:val="left" w:pos="360"/>
        </w:tabs>
        <w:spacing w:after="40"/>
        <w:ind w:left="360"/>
        <w:jc w:val="both"/>
        <w:rPr>
          <w:rFonts w:ascii="Arial" w:hAnsi="Arial" w:cs="Arial"/>
        </w:rPr>
      </w:pPr>
      <w:proofErr w:type="gramStart"/>
      <w:r w:rsidRPr="005E41DE">
        <w:rPr>
          <w:rFonts w:ascii="Arial" w:hAnsi="Arial" w:cs="Arial"/>
        </w:rPr>
        <w:t>Nonparticipating</w:t>
      </w:r>
      <w:proofErr w:type="gramEnd"/>
      <w:r w:rsidRPr="005E41DE">
        <w:rPr>
          <w:rFonts w:ascii="Arial" w:hAnsi="Arial" w:cs="Arial"/>
        </w:rPr>
        <w:t xml:space="preserve"> contracts, such as </w:t>
      </w:r>
      <w:proofErr w:type="gramStart"/>
      <w:r w:rsidRPr="005E41DE">
        <w:rPr>
          <w:rFonts w:ascii="Arial" w:hAnsi="Arial" w:cs="Arial"/>
        </w:rPr>
        <w:t>nonnegotiable</w:t>
      </w:r>
      <w:proofErr w:type="gramEnd"/>
      <w:r w:rsidRPr="005E41DE">
        <w:rPr>
          <w:rFonts w:ascii="Arial" w:hAnsi="Arial" w:cs="Arial"/>
        </w:rPr>
        <w:t xml:space="preserve"> certificates of deposit with redemption terms that do not consider market rates, should be reported using a cost-based measure, provided that the fair value of those contracts is not significantly affected by the impairment of the credit standing of the issuer or other factors.  [GASBS </w:t>
      </w:r>
      <w:r w:rsidR="003541A9" w:rsidRPr="005E41DE">
        <w:rPr>
          <w:rFonts w:ascii="Arial" w:hAnsi="Arial" w:cs="Arial"/>
        </w:rPr>
        <w:t>Codification I50 .121</w:t>
      </w:r>
      <w:r w:rsidRPr="005E41DE">
        <w:rPr>
          <w:rFonts w:ascii="Arial" w:hAnsi="Arial" w:cs="Arial"/>
        </w:rPr>
        <w:t>]</w:t>
      </w:r>
    </w:p>
    <w:p w14:paraId="695045D5" w14:textId="77777777" w:rsidR="007D0EE9" w:rsidRPr="005E41DE" w:rsidRDefault="007D0EE9" w:rsidP="007D0EE9">
      <w:pPr>
        <w:numPr>
          <w:ilvl w:val="1"/>
          <w:numId w:val="28"/>
        </w:numPr>
        <w:ind w:left="720"/>
        <w:jc w:val="both"/>
        <w:rPr>
          <w:rFonts w:ascii="Arial" w:hAnsi="Arial" w:cs="Arial"/>
        </w:rPr>
      </w:pPr>
      <w:r w:rsidRPr="005E41DE">
        <w:rPr>
          <w:rFonts w:ascii="Arial" w:hAnsi="Arial" w:cs="Arial"/>
        </w:rPr>
        <w:t xml:space="preserve">This exception from reporting at fair value is provided because these contracts </w:t>
      </w:r>
      <w:proofErr w:type="gramStart"/>
      <w:r w:rsidRPr="005E41DE">
        <w:rPr>
          <w:rFonts w:ascii="Arial" w:hAnsi="Arial" w:cs="Arial"/>
        </w:rPr>
        <w:t>are not able to</w:t>
      </w:r>
      <w:proofErr w:type="gramEnd"/>
      <w:r w:rsidRPr="005E41DE">
        <w:rPr>
          <w:rFonts w:ascii="Arial" w:hAnsi="Arial" w:cs="Arial"/>
        </w:rPr>
        <w:t xml:space="preserve"> </w:t>
      </w:r>
      <w:proofErr w:type="gramStart"/>
      <w:r w:rsidRPr="005E41DE">
        <w:rPr>
          <w:rFonts w:ascii="Arial" w:hAnsi="Arial" w:cs="Arial"/>
        </w:rPr>
        <w:t>realize</w:t>
      </w:r>
      <w:proofErr w:type="gramEnd"/>
      <w:r w:rsidRPr="005E41DE">
        <w:rPr>
          <w:rFonts w:ascii="Arial" w:hAnsi="Arial" w:cs="Arial"/>
        </w:rPr>
        <w:t xml:space="preserve"> market-based increases or decreases in value under any circumstances. [</w:t>
      </w:r>
      <w:r w:rsidR="00A90305" w:rsidRPr="005E41DE">
        <w:rPr>
          <w:rFonts w:ascii="Arial" w:hAnsi="Arial" w:cs="Arial"/>
        </w:rPr>
        <w:t>GASB Codification I</w:t>
      </w:r>
      <w:r w:rsidR="005E41DE" w:rsidRPr="005E41DE">
        <w:rPr>
          <w:rFonts w:ascii="Arial" w:hAnsi="Arial" w:cs="Arial"/>
        </w:rPr>
        <w:t>50 .716-6</w:t>
      </w:r>
      <w:r w:rsidRPr="005E41DE">
        <w:rPr>
          <w:rFonts w:ascii="Arial" w:hAnsi="Arial" w:cs="Arial"/>
        </w:rPr>
        <w:t>]</w:t>
      </w:r>
    </w:p>
    <w:p w14:paraId="4793E534" w14:textId="77777777" w:rsidR="007D0EE9" w:rsidRPr="00F64F1F" w:rsidRDefault="007D0EE9" w:rsidP="007D0EE9">
      <w:pPr>
        <w:tabs>
          <w:tab w:val="left" w:pos="432"/>
        </w:tabs>
        <w:jc w:val="both"/>
        <w:rPr>
          <w:rFonts w:ascii="Arial" w:hAnsi="Arial" w:cs="Arial"/>
        </w:rPr>
      </w:pPr>
    </w:p>
    <w:p w14:paraId="0FCCDA27" w14:textId="77777777" w:rsidR="007D0EE9" w:rsidRPr="00F64F1F" w:rsidRDefault="007D0EE9" w:rsidP="007D0EE9">
      <w:pPr>
        <w:tabs>
          <w:tab w:val="left" w:pos="432"/>
        </w:tabs>
        <w:spacing w:after="20"/>
        <w:jc w:val="both"/>
        <w:rPr>
          <w:rFonts w:ascii="Arial" w:hAnsi="Arial" w:cs="Arial"/>
          <w:u w:val="single"/>
        </w:rPr>
      </w:pPr>
      <w:r w:rsidRPr="00F64F1F">
        <w:rPr>
          <w:rFonts w:ascii="Arial" w:hAnsi="Arial" w:cs="Arial"/>
          <w:u w:val="single"/>
        </w:rPr>
        <w:t>Governmental Entities Other Than External Investment Pools</w:t>
      </w:r>
    </w:p>
    <w:p w14:paraId="40D9D0FA" w14:textId="77777777" w:rsidR="007D0EE9" w:rsidRPr="00F64F1F" w:rsidRDefault="007D0EE9" w:rsidP="007D0EE9">
      <w:pPr>
        <w:numPr>
          <w:ilvl w:val="0"/>
          <w:numId w:val="28"/>
        </w:numPr>
        <w:tabs>
          <w:tab w:val="left" w:pos="360"/>
        </w:tabs>
        <w:spacing w:after="40"/>
        <w:ind w:left="360"/>
        <w:jc w:val="both"/>
        <w:rPr>
          <w:rFonts w:ascii="Arial" w:hAnsi="Arial" w:cs="Arial"/>
        </w:rPr>
      </w:pPr>
      <w:r w:rsidRPr="00F64F1F">
        <w:rPr>
          <w:rFonts w:ascii="Arial" w:hAnsi="Arial" w:cs="Arial"/>
        </w:rPr>
        <w:t xml:space="preserve">Governmental entities other than external investment pools may report at amortized cost money market investments and </w:t>
      </w:r>
      <w:proofErr w:type="gramStart"/>
      <w:r w:rsidRPr="00F64F1F">
        <w:rPr>
          <w:rFonts w:ascii="Arial" w:hAnsi="Arial" w:cs="Arial"/>
        </w:rPr>
        <w:t>participating</w:t>
      </w:r>
      <w:proofErr w:type="gramEnd"/>
      <w:r w:rsidRPr="00F64F1F">
        <w:rPr>
          <w:rFonts w:ascii="Arial" w:hAnsi="Arial" w:cs="Arial"/>
        </w:rPr>
        <w:t xml:space="preserve"> interest-earning investment contracts that have a remaining maturity at time of purchase of </w:t>
      </w:r>
      <w:r w:rsidRPr="00E951DA">
        <w:rPr>
          <w:rFonts w:ascii="Arial" w:hAnsi="Arial" w:cs="Arial"/>
          <w:b/>
          <w:u w:val="single"/>
        </w:rPr>
        <w:t>one year or less</w:t>
      </w:r>
      <w:r w:rsidRPr="00F64F1F">
        <w:rPr>
          <w:rFonts w:ascii="Arial" w:hAnsi="Arial" w:cs="Arial"/>
        </w:rPr>
        <w:t>, provided that the fair value of those investments is not significantly affected by the impairment of the credit standing of the issuer or by other factors. [</w:t>
      </w:r>
      <w:r w:rsidR="003541A9">
        <w:rPr>
          <w:rFonts w:ascii="Arial" w:hAnsi="Arial" w:cs="Arial"/>
        </w:rPr>
        <w:t>GASB Codification I50 .123</w:t>
      </w:r>
      <w:r w:rsidRPr="00F64F1F">
        <w:rPr>
          <w:rFonts w:ascii="Arial" w:hAnsi="Arial" w:cs="Arial"/>
        </w:rPr>
        <w:t>]</w:t>
      </w:r>
    </w:p>
    <w:p w14:paraId="7F32D33E" w14:textId="6D0A7031" w:rsidR="007D0EE9" w:rsidRPr="00F64F1F" w:rsidRDefault="007D0EE9" w:rsidP="007D0EE9">
      <w:pPr>
        <w:numPr>
          <w:ilvl w:val="1"/>
          <w:numId w:val="28"/>
        </w:numPr>
        <w:tabs>
          <w:tab w:val="left" w:pos="810"/>
        </w:tabs>
        <w:spacing w:after="40"/>
        <w:ind w:left="806"/>
        <w:jc w:val="both"/>
        <w:rPr>
          <w:rFonts w:ascii="Arial" w:hAnsi="Arial" w:cs="Arial"/>
        </w:rPr>
      </w:pPr>
      <w:r w:rsidRPr="00F64F1F">
        <w:rPr>
          <w:rFonts w:ascii="Arial" w:hAnsi="Arial" w:cs="Arial"/>
        </w:rPr>
        <w:t>Money market investments are short-term, highly liquid debt instruments including commercial paper, bankers' acceptances, and U.S. Treasury and agency obligations. Asset-backed securities, derivative</w:t>
      </w:r>
      <w:r w:rsidR="0069789B">
        <w:rPr>
          <w:rFonts w:ascii="Arial" w:hAnsi="Arial" w:cs="Arial"/>
        </w:rPr>
        <w:t xml:space="preserve"> instruments</w:t>
      </w:r>
      <w:r w:rsidRPr="00F64F1F">
        <w:rPr>
          <w:rFonts w:ascii="Arial" w:hAnsi="Arial" w:cs="Arial"/>
        </w:rPr>
        <w:t>, and structured notes are not included in this term [</w:t>
      </w:r>
      <w:r w:rsidR="003541A9">
        <w:rPr>
          <w:rFonts w:ascii="Arial" w:hAnsi="Arial" w:cs="Arial"/>
        </w:rPr>
        <w:t xml:space="preserve">GASB Codification I50 </w:t>
      </w:r>
      <w:r w:rsidR="003541A9">
        <w:rPr>
          <w:rFonts w:ascii="Arial" w:hAnsi="Arial" w:cs="Arial"/>
        </w:rPr>
        <w:lastRenderedPageBreak/>
        <w:t>.123</w:t>
      </w:r>
      <w:r w:rsidRPr="00F64F1F">
        <w:rPr>
          <w:rFonts w:ascii="Arial" w:hAnsi="Arial" w:cs="Arial"/>
        </w:rPr>
        <w:t>].  For example, a five-year U.S. Treasury bond purchased nine months prior to maturity would meet this definition [</w:t>
      </w:r>
      <w:r w:rsidR="00A90305">
        <w:rPr>
          <w:rFonts w:ascii="Arial" w:hAnsi="Arial" w:cs="Arial"/>
        </w:rPr>
        <w:t>GASB Codification I50, fn9</w:t>
      </w:r>
      <w:r w:rsidRPr="00F64F1F">
        <w:rPr>
          <w:rFonts w:ascii="Arial" w:hAnsi="Arial" w:cs="Arial"/>
        </w:rPr>
        <w:t>].</w:t>
      </w:r>
    </w:p>
    <w:p w14:paraId="5BDEFC37" w14:textId="77777777" w:rsidR="007D0EE9" w:rsidRPr="00F64F1F" w:rsidRDefault="007D0EE9" w:rsidP="007D0EE9">
      <w:pPr>
        <w:numPr>
          <w:ilvl w:val="1"/>
          <w:numId w:val="28"/>
        </w:numPr>
        <w:tabs>
          <w:tab w:val="left" w:pos="810"/>
        </w:tabs>
        <w:spacing w:after="40"/>
        <w:ind w:left="806"/>
        <w:jc w:val="both"/>
        <w:rPr>
          <w:rFonts w:ascii="Arial" w:hAnsi="Arial" w:cs="Arial"/>
        </w:rPr>
      </w:pPr>
      <w:r w:rsidRPr="00F64F1F">
        <w:rPr>
          <w:rFonts w:ascii="Arial" w:hAnsi="Arial" w:cs="Arial"/>
        </w:rPr>
        <w:t>The policy for determining which investments, if any, are reported at amortized cost should be disclosed in the notes to the financial statements. [</w:t>
      </w:r>
      <w:r w:rsidR="005E41DE">
        <w:rPr>
          <w:rFonts w:ascii="Arial" w:hAnsi="Arial" w:cs="Arial"/>
        </w:rPr>
        <w:t>GASB Codification I50 .143a.</w:t>
      </w:r>
      <w:r w:rsidRPr="00F64F1F">
        <w:rPr>
          <w:rFonts w:ascii="Arial" w:hAnsi="Arial" w:cs="Arial"/>
        </w:rPr>
        <w:t>]</w:t>
      </w:r>
    </w:p>
    <w:p w14:paraId="147EAC37" w14:textId="77777777" w:rsidR="007D0EE9" w:rsidRDefault="007D0EE9" w:rsidP="007D0EE9">
      <w:pPr>
        <w:tabs>
          <w:tab w:val="left" w:pos="432"/>
        </w:tabs>
        <w:spacing w:after="20"/>
        <w:jc w:val="both"/>
        <w:rPr>
          <w:rFonts w:ascii="Arial" w:hAnsi="Arial" w:cs="Arial"/>
          <w:u w:val="single"/>
        </w:rPr>
      </w:pPr>
    </w:p>
    <w:p w14:paraId="7417B988" w14:textId="77777777" w:rsidR="00716B45" w:rsidRDefault="00716B45" w:rsidP="007D0EE9">
      <w:pPr>
        <w:tabs>
          <w:tab w:val="left" w:pos="432"/>
        </w:tabs>
        <w:spacing w:after="20"/>
        <w:jc w:val="both"/>
        <w:rPr>
          <w:rFonts w:ascii="Arial" w:hAnsi="Arial" w:cs="Arial"/>
          <w:u w:val="single"/>
        </w:rPr>
      </w:pPr>
    </w:p>
    <w:p w14:paraId="1ACBBCD6" w14:textId="77777777" w:rsidR="00716B45" w:rsidRDefault="00716B45" w:rsidP="007D0EE9">
      <w:pPr>
        <w:tabs>
          <w:tab w:val="left" w:pos="432"/>
        </w:tabs>
        <w:spacing w:after="20"/>
        <w:jc w:val="both"/>
        <w:rPr>
          <w:rFonts w:ascii="Arial" w:hAnsi="Arial" w:cs="Arial"/>
          <w:u w:val="single"/>
        </w:rPr>
      </w:pPr>
    </w:p>
    <w:p w14:paraId="5AA1727A" w14:textId="77777777" w:rsidR="007D0EE9" w:rsidRPr="00F64F1F" w:rsidRDefault="007D0EE9" w:rsidP="007D0EE9">
      <w:pPr>
        <w:tabs>
          <w:tab w:val="left" w:pos="432"/>
        </w:tabs>
        <w:spacing w:after="20"/>
        <w:jc w:val="both"/>
        <w:rPr>
          <w:rFonts w:ascii="Arial" w:hAnsi="Arial" w:cs="Arial"/>
          <w:u w:val="single"/>
        </w:rPr>
      </w:pPr>
      <w:r w:rsidRPr="00F64F1F">
        <w:rPr>
          <w:rFonts w:ascii="Arial" w:hAnsi="Arial" w:cs="Arial"/>
          <w:u w:val="single"/>
        </w:rPr>
        <w:t>External Investment Pools</w:t>
      </w:r>
    </w:p>
    <w:p w14:paraId="7EB18A82" w14:textId="77777777" w:rsidR="007D0EE9" w:rsidRPr="00F64F1F" w:rsidRDefault="007D0EE9" w:rsidP="007D0EE9">
      <w:pPr>
        <w:numPr>
          <w:ilvl w:val="0"/>
          <w:numId w:val="28"/>
        </w:numPr>
        <w:tabs>
          <w:tab w:val="left" w:pos="360"/>
        </w:tabs>
        <w:spacing w:after="40"/>
        <w:ind w:left="360"/>
        <w:jc w:val="both"/>
        <w:rPr>
          <w:rFonts w:ascii="Arial" w:hAnsi="Arial" w:cs="Arial"/>
        </w:rPr>
      </w:pPr>
      <w:r w:rsidRPr="00F64F1F">
        <w:rPr>
          <w:rFonts w:ascii="Arial" w:hAnsi="Arial" w:cs="Arial"/>
        </w:rPr>
        <w:t xml:space="preserve">All external investment pools may report short-term debt investments with </w:t>
      </w:r>
      <w:r w:rsidRPr="00E951DA">
        <w:rPr>
          <w:rFonts w:ascii="Arial" w:hAnsi="Arial" w:cs="Arial"/>
          <w:b/>
          <w:u w:val="single"/>
        </w:rPr>
        <w:t>remaining maturities of up to ninety days</w:t>
      </w:r>
      <w:r w:rsidRPr="00F64F1F">
        <w:rPr>
          <w:rFonts w:ascii="Arial" w:hAnsi="Arial" w:cs="Arial"/>
        </w:rPr>
        <w:t xml:space="preserve"> at the date of the financial statements at amortized cost, provided that the fair value of those investments is not significantly affected by the impairment of the credit standing of the issuer or by other factors. For an investment that was originally purchased with a longer maturity, the investment's fair value on the day it becomes a short-term investment should be the basis for purposes of applying a</w:t>
      </w:r>
      <w:r>
        <w:rPr>
          <w:rFonts w:ascii="Arial" w:hAnsi="Arial" w:cs="Arial"/>
        </w:rPr>
        <w:t>mortized cost.  [</w:t>
      </w:r>
      <w:r w:rsidR="001C0D32">
        <w:rPr>
          <w:rFonts w:ascii="Arial" w:hAnsi="Arial" w:cs="Arial"/>
        </w:rPr>
        <w:t>GASB Codification In5 .102]</w:t>
      </w:r>
    </w:p>
    <w:p w14:paraId="7C1B9568" w14:textId="77777777" w:rsidR="007D0EE9" w:rsidRPr="0048735B" w:rsidRDefault="007D0EE9" w:rsidP="007D0EE9">
      <w:pPr>
        <w:numPr>
          <w:ilvl w:val="1"/>
          <w:numId w:val="28"/>
        </w:numPr>
        <w:tabs>
          <w:tab w:val="left" w:pos="810"/>
        </w:tabs>
        <w:spacing w:after="40"/>
        <w:ind w:left="806"/>
        <w:jc w:val="both"/>
        <w:rPr>
          <w:rFonts w:ascii="Arial" w:hAnsi="Arial" w:cs="Arial"/>
        </w:rPr>
      </w:pPr>
      <w:r w:rsidRPr="0048735B">
        <w:rPr>
          <w:rFonts w:ascii="Arial" w:hAnsi="Arial" w:cs="Arial"/>
        </w:rPr>
        <w:t xml:space="preserve">If a governmental external investment pool includes internal </w:t>
      </w:r>
      <w:proofErr w:type="gramStart"/>
      <w:r w:rsidRPr="0048735B">
        <w:rPr>
          <w:rFonts w:ascii="Arial" w:hAnsi="Arial" w:cs="Arial"/>
        </w:rPr>
        <w:t>moneys</w:t>
      </w:r>
      <w:proofErr w:type="gramEnd"/>
      <w:r w:rsidRPr="0048735B">
        <w:rPr>
          <w:rFonts w:ascii="Arial" w:hAnsi="Arial" w:cs="Arial"/>
        </w:rPr>
        <w:t xml:space="preserve"> belonging to the pool's sponsor, the accounting guidance applicable to governmental external investment pools should be followed for the entire pool. The pool is not permitted to follow the cost-based standards for money market investments and </w:t>
      </w:r>
      <w:proofErr w:type="gramStart"/>
      <w:r w:rsidRPr="0048735B">
        <w:rPr>
          <w:rFonts w:ascii="Arial" w:hAnsi="Arial" w:cs="Arial"/>
        </w:rPr>
        <w:t>participating</w:t>
      </w:r>
      <w:proofErr w:type="gramEnd"/>
      <w:r w:rsidRPr="0048735B">
        <w:rPr>
          <w:rFonts w:ascii="Arial" w:hAnsi="Arial" w:cs="Arial"/>
        </w:rPr>
        <w:t xml:space="preserve"> interest-earning investment contracts, even though a portion of the pool represents internal </w:t>
      </w:r>
      <w:proofErr w:type="gramStart"/>
      <w:r w:rsidRPr="0048735B">
        <w:rPr>
          <w:rFonts w:ascii="Arial" w:hAnsi="Arial" w:cs="Arial"/>
        </w:rPr>
        <w:t>moneys</w:t>
      </w:r>
      <w:proofErr w:type="gramEnd"/>
      <w:r w:rsidRPr="0048735B">
        <w:rPr>
          <w:rFonts w:ascii="Arial" w:hAnsi="Arial" w:cs="Arial"/>
        </w:rPr>
        <w:t>. [</w:t>
      </w:r>
      <w:r w:rsidR="00260ED5">
        <w:rPr>
          <w:rFonts w:ascii="Arial" w:hAnsi="Arial" w:cs="Arial"/>
        </w:rPr>
        <w:t>GASB Codification I50 .725-2</w:t>
      </w:r>
      <w:r w:rsidRPr="0048735B">
        <w:rPr>
          <w:rFonts w:ascii="Arial" w:hAnsi="Arial" w:cs="Arial"/>
        </w:rPr>
        <w:t>]</w:t>
      </w:r>
    </w:p>
    <w:p w14:paraId="493FC478" w14:textId="77777777" w:rsidR="007D0EE9" w:rsidRPr="00F64F1F" w:rsidRDefault="007D0EE9" w:rsidP="007D0EE9">
      <w:pPr>
        <w:numPr>
          <w:ilvl w:val="1"/>
          <w:numId w:val="28"/>
        </w:numPr>
        <w:tabs>
          <w:tab w:val="left" w:pos="810"/>
        </w:tabs>
        <w:spacing w:after="40"/>
        <w:ind w:left="806"/>
        <w:jc w:val="both"/>
        <w:rPr>
          <w:rFonts w:ascii="Arial" w:hAnsi="Arial" w:cs="Arial"/>
        </w:rPr>
      </w:pPr>
      <w:r w:rsidRPr="00F64F1F">
        <w:rPr>
          <w:rFonts w:ascii="Arial" w:hAnsi="Arial" w:cs="Arial"/>
        </w:rPr>
        <w:t>The policy for determining which investments, if any, are reported at amortized cost should be disclosed in the notes to the financial statements. [</w:t>
      </w:r>
      <w:r w:rsidR="001C0D32">
        <w:rPr>
          <w:rFonts w:ascii="Arial" w:hAnsi="Arial" w:cs="Arial"/>
        </w:rPr>
        <w:t>GASB Codification I50 .143a.</w:t>
      </w:r>
      <w:r w:rsidRPr="00F64F1F">
        <w:rPr>
          <w:rFonts w:ascii="Arial" w:hAnsi="Arial" w:cs="Arial"/>
        </w:rPr>
        <w:t>]</w:t>
      </w:r>
    </w:p>
    <w:p w14:paraId="2E611C04" w14:textId="77777777" w:rsidR="007D0EE9" w:rsidRDefault="007D0EE9" w:rsidP="001E0423">
      <w:pPr>
        <w:tabs>
          <w:tab w:val="left" w:pos="576"/>
        </w:tabs>
        <w:spacing w:line="216" w:lineRule="atLeast"/>
        <w:jc w:val="both"/>
        <w:rPr>
          <w:rFonts w:ascii="Arial" w:hAnsi="Arial"/>
        </w:rPr>
      </w:pPr>
    </w:p>
    <w:p w14:paraId="5E7C98EC" w14:textId="77777777" w:rsidR="00117858" w:rsidRPr="003A0302" w:rsidRDefault="00117858" w:rsidP="00117858">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 xml:space="preserve">Worksheet </w:t>
      </w:r>
      <w:proofErr w:type="gramStart"/>
      <w:r w:rsidRPr="003A0302">
        <w:rPr>
          <w:rFonts w:ascii="Arial" w:hAnsi="Arial"/>
          <w:b/>
          <w:sz w:val="22"/>
          <w:szCs w:val="22"/>
          <w:u w:val="single"/>
        </w:rPr>
        <w:t>760  —</w:t>
      </w:r>
      <w:proofErr w:type="gramEnd"/>
      <w:r w:rsidRPr="003A0302">
        <w:rPr>
          <w:rFonts w:ascii="Arial" w:hAnsi="Arial"/>
          <w:b/>
          <w:sz w:val="22"/>
          <w:szCs w:val="22"/>
          <w:u w:val="single"/>
        </w:rPr>
        <w:t xml:space="preserve">  Investments Held Outside </w:t>
      </w:r>
      <w:proofErr w:type="gramStart"/>
      <w:r w:rsidRPr="003A0302">
        <w:rPr>
          <w:rFonts w:ascii="Arial" w:hAnsi="Arial"/>
          <w:b/>
          <w:sz w:val="22"/>
          <w:szCs w:val="22"/>
          <w:u w:val="single"/>
        </w:rPr>
        <w:t>The</w:t>
      </w:r>
      <w:proofErr w:type="gramEnd"/>
      <w:r w:rsidRPr="003A0302">
        <w:rPr>
          <w:rFonts w:ascii="Arial" w:hAnsi="Arial"/>
          <w:b/>
          <w:sz w:val="22"/>
          <w:szCs w:val="22"/>
          <w:u w:val="single"/>
        </w:rPr>
        <w:t xml:space="preserve"> State Treasurer—Investments Measured at NAV</w:t>
      </w:r>
    </w:p>
    <w:p w14:paraId="6D037CE9" w14:textId="77777777" w:rsidR="00AB711F" w:rsidRDefault="00AB711F" w:rsidP="001E0423">
      <w:pPr>
        <w:tabs>
          <w:tab w:val="left" w:pos="576"/>
        </w:tabs>
        <w:spacing w:line="216" w:lineRule="atLeast"/>
        <w:jc w:val="both"/>
        <w:rPr>
          <w:rFonts w:ascii="Arial" w:hAnsi="Arial"/>
        </w:rPr>
      </w:pPr>
    </w:p>
    <w:p w14:paraId="39DBD50E" w14:textId="77777777" w:rsidR="00117858" w:rsidRPr="00A66CBD" w:rsidRDefault="00555219" w:rsidP="001E0423">
      <w:pPr>
        <w:tabs>
          <w:tab w:val="left" w:pos="576"/>
        </w:tabs>
        <w:spacing w:line="216" w:lineRule="atLeast"/>
        <w:jc w:val="both"/>
        <w:rPr>
          <w:rFonts w:ascii="Arial" w:hAnsi="Arial"/>
          <w:b/>
        </w:rPr>
      </w:pPr>
      <w:r>
        <w:rPr>
          <w:rFonts w:ascii="Arial" w:hAnsi="Arial"/>
          <w:b/>
        </w:rPr>
        <w:t xml:space="preserve">Only applies to UNC Chapel Hill, </w:t>
      </w:r>
      <w:r w:rsidRPr="00555219">
        <w:rPr>
          <w:rFonts w:ascii="Arial" w:hAnsi="Arial"/>
          <w:b/>
        </w:rPr>
        <w:t>the State 401(k) plan, and the State Deferred Compensation Plan.</w:t>
      </w:r>
    </w:p>
    <w:p w14:paraId="41894ED4" w14:textId="77777777" w:rsidR="00AB711F" w:rsidRPr="008A59CD" w:rsidRDefault="00AB711F" w:rsidP="001E0423">
      <w:pPr>
        <w:tabs>
          <w:tab w:val="left" w:pos="576"/>
        </w:tabs>
        <w:spacing w:line="216" w:lineRule="atLeast"/>
        <w:jc w:val="both"/>
        <w:rPr>
          <w:rFonts w:ascii="Arial" w:hAnsi="Arial"/>
        </w:rPr>
      </w:pPr>
    </w:p>
    <w:p w14:paraId="4BA20590" w14:textId="77777777" w:rsidR="001E0423" w:rsidRDefault="00AB711F" w:rsidP="001E0423">
      <w:pPr>
        <w:tabs>
          <w:tab w:val="left" w:pos="576"/>
        </w:tabs>
        <w:spacing w:line="216" w:lineRule="atLeast"/>
        <w:jc w:val="both"/>
        <w:rPr>
          <w:rFonts w:ascii="Arial" w:hAnsi="Arial"/>
        </w:rPr>
      </w:pPr>
      <w:r>
        <w:rPr>
          <w:rFonts w:ascii="Arial" w:hAnsi="Arial"/>
        </w:rPr>
        <w:t>Include the amount of your entity’s unfunded commitments related to that investment type in the unfunded commitments column.</w:t>
      </w:r>
    </w:p>
    <w:p w14:paraId="21BC4A65" w14:textId="77777777" w:rsidR="00AB711F" w:rsidRDefault="00AB711F" w:rsidP="001E0423">
      <w:pPr>
        <w:tabs>
          <w:tab w:val="left" w:pos="576"/>
        </w:tabs>
        <w:spacing w:line="216" w:lineRule="atLeast"/>
        <w:jc w:val="both"/>
        <w:rPr>
          <w:rFonts w:ascii="Arial" w:hAnsi="Arial"/>
        </w:rPr>
      </w:pPr>
    </w:p>
    <w:p w14:paraId="4F7EB971" w14:textId="77777777" w:rsidR="00AB711F" w:rsidRDefault="00AB711F" w:rsidP="001E0423">
      <w:pPr>
        <w:tabs>
          <w:tab w:val="left" w:pos="576"/>
        </w:tabs>
        <w:spacing w:line="216" w:lineRule="atLeast"/>
        <w:jc w:val="both"/>
        <w:rPr>
          <w:rFonts w:ascii="Arial" w:hAnsi="Arial"/>
        </w:rPr>
      </w:pPr>
      <w:r>
        <w:rPr>
          <w:rFonts w:ascii="Arial" w:hAnsi="Arial"/>
        </w:rPr>
        <w:t xml:space="preserve">A general description of the terms and conditions upon which a government may redeem investments in the type should be listed in the redemption frequency column and redemption notice period column. For example, in the Redemption Frequency column, “Quarterly” or “Quarterly, annually” are appropriate responses. In the Redemption Notice Period column, “30 – 60 days”, “30 - 45 days”, etc. are appropriate responses. </w:t>
      </w:r>
    </w:p>
    <w:p w14:paraId="4B9CF918" w14:textId="77777777" w:rsidR="00D34F37" w:rsidRDefault="00D34F37" w:rsidP="001E0423">
      <w:pPr>
        <w:tabs>
          <w:tab w:val="left" w:pos="576"/>
        </w:tabs>
        <w:spacing w:line="216" w:lineRule="atLeast"/>
        <w:jc w:val="both"/>
        <w:rPr>
          <w:rFonts w:ascii="Arial" w:hAnsi="Arial"/>
        </w:rPr>
      </w:pPr>
    </w:p>
    <w:p w14:paraId="600CEDC6" w14:textId="4A80B323" w:rsidR="00D34F37" w:rsidRPr="007F286F" w:rsidRDefault="00A66CBD" w:rsidP="001E0423">
      <w:pPr>
        <w:tabs>
          <w:tab w:val="left" w:pos="576"/>
        </w:tabs>
        <w:spacing w:line="216" w:lineRule="atLeast"/>
        <w:jc w:val="both"/>
        <w:rPr>
          <w:rFonts w:ascii="Arial" w:hAnsi="Arial"/>
          <w:u w:val="single"/>
        </w:rPr>
      </w:pPr>
      <w:r w:rsidRPr="007F286F">
        <w:rPr>
          <w:rFonts w:ascii="Arial" w:hAnsi="Arial"/>
          <w:b/>
          <w:u w:val="single"/>
        </w:rPr>
        <w:t>A</w:t>
      </w:r>
      <w:r w:rsidR="00D34F37" w:rsidRPr="007F286F">
        <w:rPr>
          <w:rFonts w:ascii="Arial" w:hAnsi="Arial"/>
          <w:b/>
          <w:u w:val="single"/>
        </w:rPr>
        <w:t xml:space="preserve">dditional disclosures are </w:t>
      </w:r>
      <w:r w:rsidRPr="007F286F">
        <w:rPr>
          <w:rFonts w:ascii="Arial" w:hAnsi="Arial"/>
          <w:b/>
          <w:u w:val="single"/>
        </w:rPr>
        <w:t xml:space="preserve">also </w:t>
      </w:r>
      <w:r w:rsidR="00D34F37" w:rsidRPr="007F286F">
        <w:rPr>
          <w:rFonts w:ascii="Arial" w:hAnsi="Arial"/>
          <w:b/>
          <w:u w:val="single"/>
        </w:rPr>
        <w:t>required.</w:t>
      </w:r>
      <w:r w:rsidR="00D34F37" w:rsidRPr="007F286F">
        <w:rPr>
          <w:rFonts w:ascii="Arial" w:hAnsi="Arial"/>
          <w:u w:val="single"/>
        </w:rPr>
        <w:t xml:space="preserve"> </w:t>
      </w:r>
      <w:r w:rsidR="00D34F37" w:rsidRPr="007F286F">
        <w:rPr>
          <w:rFonts w:ascii="Arial" w:hAnsi="Arial"/>
          <w:b/>
          <w:u w:val="single"/>
        </w:rPr>
        <w:t xml:space="preserve">Complete </w:t>
      </w:r>
      <w:r w:rsidR="0033038E">
        <w:rPr>
          <w:rFonts w:ascii="Arial" w:hAnsi="Arial"/>
          <w:b/>
          <w:u w:val="single"/>
        </w:rPr>
        <w:t>A</w:t>
      </w:r>
      <w:r w:rsidR="007C7EC4">
        <w:rPr>
          <w:rFonts w:ascii="Arial" w:hAnsi="Arial"/>
          <w:b/>
          <w:u w:val="single"/>
        </w:rPr>
        <w:t>CFR</w:t>
      </w:r>
      <w:r w:rsidR="00D34F37" w:rsidRPr="007F286F">
        <w:rPr>
          <w:rFonts w:ascii="Arial" w:hAnsi="Arial"/>
          <w:b/>
          <w:u w:val="single"/>
        </w:rPr>
        <w:t xml:space="preserve"> Package Narrative WS 760.</w:t>
      </w:r>
      <w:r w:rsidR="00D34F37" w:rsidRPr="007F286F">
        <w:rPr>
          <w:rFonts w:ascii="Arial" w:hAnsi="Arial"/>
          <w:u w:val="single"/>
        </w:rPr>
        <w:t xml:space="preserve"> </w:t>
      </w:r>
    </w:p>
    <w:p w14:paraId="6B0ABFE2" w14:textId="77777777" w:rsidR="003B3B2B" w:rsidRDefault="003B3B2B" w:rsidP="001E0423">
      <w:pPr>
        <w:tabs>
          <w:tab w:val="left" w:pos="576"/>
        </w:tabs>
        <w:spacing w:line="216" w:lineRule="atLeast"/>
        <w:jc w:val="both"/>
        <w:rPr>
          <w:rFonts w:ascii="Arial" w:hAnsi="Arial"/>
        </w:rPr>
      </w:pPr>
    </w:p>
    <w:p w14:paraId="16704414" w14:textId="77777777" w:rsidR="003B3B2B" w:rsidRPr="003A0302" w:rsidRDefault="003B3B2B" w:rsidP="003B3B2B">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 xml:space="preserve">Worksheet </w:t>
      </w:r>
      <w:proofErr w:type="gramStart"/>
      <w:r w:rsidRPr="003A0302">
        <w:rPr>
          <w:rFonts w:ascii="Arial" w:hAnsi="Arial"/>
          <w:b/>
          <w:sz w:val="22"/>
          <w:szCs w:val="22"/>
          <w:u w:val="single"/>
        </w:rPr>
        <w:t>765  —</w:t>
      </w:r>
      <w:proofErr w:type="gramEnd"/>
      <w:r w:rsidRPr="003A0302">
        <w:rPr>
          <w:rFonts w:ascii="Arial" w:hAnsi="Arial"/>
          <w:b/>
          <w:sz w:val="22"/>
          <w:szCs w:val="22"/>
          <w:u w:val="single"/>
        </w:rPr>
        <w:t xml:space="preserve">  Investments Held Outside </w:t>
      </w:r>
      <w:proofErr w:type="gramStart"/>
      <w:r w:rsidRPr="003A0302">
        <w:rPr>
          <w:rFonts w:ascii="Arial" w:hAnsi="Arial"/>
          <w:b/>
          <w:sz w:val="22"/>
          <w:szCs w:val="22"/>
          <w:u w:val="single"/>
        </w:rPr>
        <w:t>The</w:t>
      </w:r>
      <w:proofErr w:type="gramEnd"/>
      <w:r w:rsidRPr="003A0302">
        <w:rPr>
          <w:rFonts w:ascii="Arial" w:hAnsi="Arial"/>
          <w:b/>
          <w:sz w:val="22"/>
          <w:szCs w:val="22"/>
          <w:u w:val="single"/>
        </w:rPr>
        <w:t xml:space="preserve"> State Treasurer—External Investment Pools and Pool Participants</w:t>
      </w:r>
    </w:p>
    <w:p w14:paraId="6BF07A38" w14:textId="77777777" w:rsidR="003B3B2B" w:rsidRDefault="003B3B2B" w:rsidP="003B3B2B">
      <w:pPr>
        <w:tabs>
          <w:tab w:val="left" w:pos="576"/>
        </w:tabs>
        <w:spacing w:line="216" w:lineRule="atLeast"/>
        <w:jc w:val="both"/>
        <w:rPr>
          <w:rFonts w:ascii="Arial" w:hAnsi="Arial"/>
          <w:b/>
          <w:u w:val="single"/>
        </w:rPr>
      </w:pPr>
    </w:p>
    <w:p w14:paraId="038DB713" w14:textId="77777777" w:rsidR="00981131" w:rsidRPr="00A66CBD" w:rsidRDefault="00981131" w:rsidP="00981131">
      <w:pPr>
        <w:tabs>
          <w:tab w:val="left" w:pos="576"/>
        </w:tabs>
        <w:spacing w:line="216" w:lineRule="atLeast"/>
        <w:jc w:val="both"/>
        <w:rPr>
          <w:rFonts w:ascii="Arial" w:hAnsi="Arial"/>
          <w:b/>
        </w:rPr>
      </w:pPr>
      <w:r w:rsidRPr="00A66CBD">
        <w:rPr>
          <w:rFonts w:ascii="Arial" w:hAnsi="Arial"/>
          <w:b/>
        </w:rPr>
        <w:t xml:space="preserve">Only applies to </w:t>
      </w:r>
      <w:proofErr w:type="gramStart"/>
      <w:r>
        <w:rPr>
          <w:rFonts w:ascii="Arial" w:hAnsi="Arial"/>
          <w:b/>
        </w:rPr>
        <w:t>Department</w:t>
      </w:r>
      <w:proofErr w:type="gramEnd"/>
      <w:r>
        <w:rPr>
          <w:rFonts w:ascii="Arial" w:hAnsi="Arial"/>
          <w:b/>
        </w:rPr>
        <w:t xml:space="preserve"> of State Treasurer, De</w:t>
      </w:r>
      <w:r w:rsidR="007F286F">
        <w:rPr>
          <w:rFonts w:ascii="Arial" w:hAnsi="Arial"/>
          <w:b/>
        </w:rPr>
        <w:t xml:space="preserve">partment of Transportation, </w:t>
      </w:r>
      <w:r>
        <w:rPr>
          <w:rFonts w:ascii="Arial" w:hAnsi="Arial"/>
          <w:b/>
        </w:rPr>
        <w:t>the UNC System</w:t>
      </w:r>
      <w:r w:rsidR="007F286F">
        <w:rPr>
          <w:rFonts w:ascii="Arial" w:hAnsi="Arial"/>
          <w:b/>
        </w:rPr>
        <w:t xml:space="preserve">, the State 401(k) Plan, and the </w:t>
      </w:r>
      <w:r w:rsidR="00EB7791">
        <w:rPr>
          <w:rFonts w:ascii="Arial" w:hAnsi="Arial"/>
          <w:b/>
        </w:rPr>
        <w:t xml:space="preserve">State </w:t>
      </w:r>
      <w:r w:rsidR="007F286F">
        <w:rPr>
          <w:rFonts w:ascii="Arial" w:hAnsi="Arial"/>
          <w:b/>
        </w:rPr>
        <w:t>Deferred Compensation Plan.</w:t>
      </w:r>
    </w:p>
    <w:p w14:paraId="6EB509C6" w14:textId="77777777" w:rsidR="00981131" w:rsidRDefault="00981131" w:rsidP="003B3B2B">
      <w:pPr>
        <w:tabs>
          <w:tab w:val="left" w:pos="576"/>
        </w:tabs>
        <w:spacing w:line="216" w:lineRule="atLeast"/>
        <w:jc w:val="both"/>
        <w:rPr>
          <w:rFonts w:ascii="Arial" w:hAnsi="Arial"/>
          <w:b/>
          <w:u w:val="single"/>
        </w:rPr>
      </w:pPr>
    </w:p>
    <w:p w14:paraId="3244E1C6" w14:textId="48812823" w:rsidR="007038C6" w:rsidRPr="00693993" w:rsidRDefault="007038C6" w:rsidP="007038C6">
      <w:pPr>
        <w:rPr>
          <w:rFonts w:ascii="Arial" w:hAnsi="Arial" w:cs="Arial"/>
          <w:lang w:eastAsia="x-none"/>
        </w:rPr>
      </w:pPr>
      <w:r>
        <w:rPr>
          <w:rFonts w:ascii="Arial" w:hAnsi="Arial" w:cs="Arial"/>
          <w:lang w:eastAsia="x-none"/>
        </w:rPr>
        <w:t>GASB 79 requires disclosure</w:t>
      </w:r>
      <w:r w:rsidR="00A02514">
        <w:rPr>
          <w:rFonts w:ascii="Arial" w:hAnsi="Arial" w:cs="Arial"/>
          <w:lang w:eastAsia="x-none"/>
        </w:rPr>
        <w:t>s</w:t>
      </w:r>
      <w:r>
        <w:rPr>
          <w:rFonts w:ascii="Arial" w:hAnsi="Arial" w:cs="Arial"/>
          <w:lang w:eastAsia="x-none"/>
        </w:rPr>
        <w:t xml:space="preserve"> </w:t>
      </w:r>
      <w:r w:rsidR="00A02514">
        <w:rPr>
          <w:rFonts w:ascii="Arial" w:hAnsi="Arial" w:cs="Arial"/>
          <w:lang w:eastAsia="x-none"/>
        </w:rPr>
        <w:t>for</w:t>
      </w:r>
      <w:r>
        <w:rPr>
          <w:rFonts w:ascii="Arial" w:hAnsi="Arial" w:cs="Arial"/>
          <w:lang w:eastAsia="x-none"/>
        </w:rPr>
        <w:t xml:space="preserve"> qualifying external investment pools that elect to measure </w:t>
      </w:r>
      <w:proofErr w:type="gramStart"/>
      <w:r>
        <w:rPr>
          <w:rFonts w:ascii="Arial" w:hAnsi="Arial" w:cs="Arial"/>
          <w:lang w:eastAsia="x-none"/>
        </w:rPr>
        <w:t>all of</w:t>
      </w:r>
      <w:proofErr w:type="gramEnd"/>
      <w:r>
        <w:rPr>
          <w:rFonts w:ascii="Arial" w:hAnsi="Arial" w:cs="Arial"/>
          <w:lang w:eastAsia="x-none"/>
        </w:rPr>
        <w:t xml:space="preserve"> its investments at amortized cost and pool participants of qualifying external investment pools that measure </w:t>
      </w:r>
      <w:proofErr w:type="gramStart"/>
      <w:r>
        <w:rPr>
          <w:rFonts w:ascii="Arial" w:hAnsi="Arial" w:cs="Arial"/>
          <w:lang w:eastAsia="x-none"/>
        </w:rPr>
        <w:t>all of</w:t>
      </w:r>
      <w:proofErr w:type="gramEnd"/>
      <w:r>
        <w:rPr>
          <w:rFonts w:ascii="Arial" w:hAnsi="Arial" w:cs="Arial"/>
          <w:lang w:eastAsia="x-none"/>
        </w:rPr>
        <w:t xml:space="preserve"> their investments at amortized cost. Review the criteria on the worksheet and in the Financial Reporting Update link contained within the worksheet to determine if your agency/institution </w:t>
      </w:r>
      <w:r w:rsidR="00981131">
        <w:rPr>
          <w:rFonts w:ascii="Arial" w:hAnsi="Arial" w:cs="Arial"/>
          <w:lang w:eastAsia="x-none"/>
        </w:rPr>
        <w:t>operates</w:t>
      </w:r>
      <w:r>
        <w:rPr>
          <w:rFonts w:ascii="Arial" w:hAnsi="Arial" w:cs="Arial"/>
          <w:lang w:eastAsia="x-none"/>
        </w:rPr>
        <w:t xml:space="preserve"> a qualifying external investment pool that elects to measure </w:t>
      </w:r>
      <w:proofErr w:type="gramStart"/>
      <w:r>
        <w:rPr>
          <w:rFonts w:ascii="Arial" w:hAnsi="Arial" w:cs="Arial"/>
          <w:lang w:eastAsia="x-none"/>
        </w:rPr>
        <w:t>all of</w:t>
      </w:r>
      <w:proofErr w:type="gramEnd"/>
      <w:r>
        <w:rPr>
          <w:rFonts w:ascii="Arial" w:hAnsi="Arial" w:cs="Arial"/>
          <w:lang w:eastAsia="x-none"/>
        </w:rPr>
        <w:t xml:space="preserve"> its investments at amortized cost or if your agency/institution participates in a qualifying external investment pool that elects to measure </w:t>
      </w:r>
      <w:proofErr w:type="gramStart"/>
      <w:r>
        <w:rPr>
          <w:rFonts w:ascii="Arial" w:hAnsi="Arial" w:cs="Arial"/>
          <w:lang w:eastAsia="x-none"/>
        </w:rPr>
        <w:t>all of</w:t>
      </w:r>
      <w:proofErr w:type="gramEnd"/>
      <w:r>
        <w:rPr>
          <w:rFonts w:ascii="Arial" w:hAnsi="Arial" w:cs="Arial"/>
          <w:lang w:eastAsia="x-none"/>
        </w:rPr>
        <w:t xml:space="preserve"> its investments at amortized cost. </w:t>
      </w:r>
      <w:r>
        <w:rPr>
          <w:rFonts w:ascii="Arial" w:hAnsi="Arial" w:cs="Arial"/>
        </w:rPr>
        <w:t xml:space="preserve">If you answer yes to either of these questions on this worksheet, you will also need to complete the related </w:t>
      </w:r>
      <w:r w:rsidR="0033038E">
        <w:rPr>
          <w:rFonts w:ascii="Arial" w:hAnsi="Arial" w:cs="Arial"/>
          <w:b/>
          <w:u w:val="single"/>
        </w:rPr>
        <w:t>A</w:t>
      </w:r>
      <w:r w:rsidR="007C7EC4">
        <w:rPr>
          <w:rFonts w:ascii="Arial" w:hAnsi="Arial" w:cs="Arial"/>
          <w:b/>
          <w:u w:val="single"/>
        </w:rPr>
        <w:t>CFR</w:t>
      </w:r>
      <w:r w:rsidRPr="00003DA0">
        <w:rPr>
          <w:rFonts w:ascii="Arial" w:hAnsi="Arial" w:cs="Arial"/>
          <w:b/>
          <w:u w:val="single"/>
        </w:rPr>
        <w:t xml:space="preserve"> Package Narrative</w:t>
      </w:r>
      <w:r>
        <w:rPr>
          <w:rFonts w:ascii="Arial" w:hAnsi="Arial" w:cs="Arial"/>
        </w:rPr>
        <w:t xml:space="preserve"> disclosures.</w:t>
      </w:r>
    </w:p>
    <w:p w14:paraId="179631B0" w14:textId="77777777" w:rsidR="00AB711F" w:rsidRPr="001E0423" w:rsidRDefault="00AB711F" w:rsidP="001E0423">
      <w:pPr>
        <w:tabs>
          <w:tab w:val="left" w:pos="576"/>
        </w:tabs>
        <w:spacing w:line="216" w:lineRule="atLeast"/>
        <w:jc w:val="both"/>
        <w:rPr>
          <w:rFonts w:ascii="Arial" w:hAnsi="Arial"/>
        </w:rPr>
      </w:pPr>
    </w:p>
    <w:p w14:paraId="77FCEEB9" w14:textId="77777777" w:rsidR="004E46A3" w:rsidRPr="00473A6E" w:rsidRDefault="004E46A3" w:rsidP="00380628">
      <w:pPr>
        <w:pStyle w:val="Heading3"/>
        <w:jc w:val="both"/>
        <w:rPr>
          <w:sz w:val="28"/>
          <w:szCs w:val="28"/>
        </w:rPr>
      </w:pPr>
      <w:r w:rsidRPr="00473A6E">
        <w:rPr>
          <w:sz w:val="28"/>
          <w:szCs w:val="28"/>
        </w:rPr>
        <w:lastRenderedPageBreak/>
        <w:t>Definitions and Terms</w:t>
      </w:r>
    </w:p>
    <w:p w14:paraId="3D5F1B7B" w14:textId="77777777" w:rsidR="004E46A3" w:rsidRDefault="004E46A3">
      <w:pPr>
        <w:spacing w:line="240" w:lineRule="atLeast"/>
        <w:jc w:val="both"/>
        <w:rPr>
          <w:rFonts w:ascii="Arial" w:hAnsi="Arial"/>
        </w:rPr>
      </w:pPr>
    </w:p>
    <w:p w14:paraId="22C12446" w14:textId="12DAD0C1" w:rsidR="00AB5E55" w:rsidRDefault="004E46A3" w:rsidP="00003B80">
      <w:pPr>
        <w:rPr>
          <w:rFonts w:ascii="Arial" w:hAnsi="Arial" w:cs="Arial"/>
        </w:rPr>
      </w:pPr>
      <w:r w:rsidRPr="00473A6E">
        <w:rPr>
          <w:rFonts w:ascii="Arial" w:hAnsi="Arial" w:cs="Arial"/>
        </w:rPr>
        <w:t>The following general definitions should be useful in classifying cash and investments.  For more specific account definitions, see</w:t>
      </w:r>
      <w:r w:rsidR="00003B80">
        <w:rPr>
          <w:rFonts w:ascii="Arial" w:hAnsi="Arial" w:cs="Arial"/>
        </w:rPr>
        <w:t>:</w:t>
      </w:r>
    </w:p>
    <w:p w14:paraId="6F872A91" w14:textId="65CC6C58" w:rsidR="00003B80" w:rsidRPr="00003B80" w:rsidRDefault="00003B80" w:rsidP="00003B80">
      <w:pPr>
        <w:rPr>
          <w:rFonts w:ascii="Arial" w:hAnsi="Arial" w:cs="Arial"/>
        </w:rPr>
      </w:pPr>
      <w:hyperlink r:id="rId25" w:history="1">
        <w:r w:rsidRPr="00003B80">
          <w:rPr>
            <w:rFonts w:ascii="Arial" w:hAnsi="Arial" w:cs="Arial"/>
            <w:color w:val="0000FF"/>
            <w:u w:val="single"/>
          </w:rPr>
          <w:t>Chart of Accounts | NC OSC</w:t>
        </w:r>
      </w:hyperlink>
    </w:p>
    <w:p w14:paraId="6699449B" w14:textId="77777777" w:rsidR="004E46A3" w:rsidRPr="00473A6E" w:rsidRDefault="004E46A3">
      <w:pPr>
        <w:rPr>
          <w:rFonts w:ascii="Arial" w:hAnsi="Arial" w:cs="Arial"/>
        </w:rPr>
      </w:pPr>
    </w:p>
    <w:p w14:paraId="20E9CA79" w14:textId="6C802B4A" w:rsidR="004E46A3" w:rsidRPr="00473A6E" w:rsidRDefault="004E46A3">
      <w:pPr>
        <w:pStyle w:val="Footer"/>
        <w:tabs>
          <w:tab w:val="clear" w:pos="4320"/>
          <w:tab w:val="clear" w:pos="8640"/>
        </w:tabs>
        <w:rPr>
          <w:rFonts w:ascii="Arial" w:hAnsi="Arial" w:cs="Arial"/>
          <w:b/>
          <w:i/>
        </w:rPr>
      </w:pPr>
      <w:r w:rsidRPr="00473A6E">
        <w:rPr>
          <w:rFonts w:ascii="Arial" w:hAnsi="Arial" w:cs="Arial"/>
          <w:b/>
          <w:i/>
        </w:rPr>
        <w:t xml:space="preserve">Current Assets – Accounts </w:t>
      </w:r>
      <w:r w:rsidRPr="009EA386">
        <w:rPr>
          <w:rFonts w:ascii="Arial" w:hAnsi="Arial" w:cs="Arial"/>
          <w:b/>
          <w:bCs/>
          <w:i/>
          <w:iCs/>
        </w:rPr>
        <w:t>11XXXX</w:t>
      </w:r>
      <w:r w:rsidR="6985220C" w:rsidRPr="009EA386">
        <w:rPr>
          <w:rFonts w:ascii="Arial" w:hAnsi="Arial" w:cs="Arial"/>
          <w:b/>
          <w:bCs/>
          <w:i/>
          <w:iCs/>
        </w:rPr>
        <w:t>XX</w:t>
      </w:r>
    </w:p>
    <w:p w14:paraId="44094778" w14:textId="77777777" w:rsidR="004E46A3" w:rsidRDefault="008B7308">
      <w:pPr>
        <w:rPr>
          <w:rFonts w:ascii="Arial" w:hAnsi="Arial" w:cs="Arial"/>
          <w:b/>
          <w:bCs/>
          <w:i/>
          <w:iCs/>
        </w:rPr>
      </w:pPr>
      <w:r w:rsidRPr="008B7308">
        <w:rPr>
          <w:rFonts w:ascii="Arial" w:hAnsi="Arial" w:cs="Arial"/>
          <w:b/>
          <w:bCs/>
          <w:i/>
          <w:iCs/>
        </w:rPr>
        <w:t>Restricted Assets</w:t>
      </w:r>
    </w:p>
    <w:p w14:paraId="33079352" w14:textId="77777777" w:rsidR="008B7308" w:rsidRPr="007F16EB" w:rsidRDefault="008B7308" w:rsidP="008B7308">
      <w:pPr>
        <w:jc w:val="both"/>
        <w:rPr>
          <w:rFonts w:ascii="Arial" w:hAnsi="Arial" w:cs="Arial"/>
        </w:rPr>
      </w:pPr>
      <w:r w:rsidRPr="007F16EB">
        <w:rPr>
          <w:rFonts w:ascii="Arial" w:hAnsi="Arial" w:cs="Arial"/>
        </w:rPr>
        <w:t>Restricted assets should be reported when restrictions on asset use change the nature or normal understanding of the availability of the asset. For example, cash and investments normally are classified as current assets and a normal understanding of these assets presumes that restrictions do not limit the government’s ability to use the resources to pay current liabilities.  However, the following resources are not available for current operations and should be reported as restricted assets:</w:t>
      </w:r>
    </w:p>
    <w:p w14:paraId="44AB8AA1" w14:textId="77777777" w:rsidR="008B7308" w:rsidRPr="007F16EB" w:rsidRDefault="008B7308" w:rsidP="008B7308">
      <w:pPr>
        <w:jc w:val="both"/>
        <w:rPr>
          <w:rFonts w:ascii="Arial" w:hAnsi="Arial" w:cs="Arial"/>
        </w:rPr>
      </w:pPr>
    </w:p>
    <w:p w14:paraId="03F2142A" w14:textId="77777777" w:rsidR="008B7308" w:rsidRPr="007F16EB" w:rsidRDefault="008B7308" w:rsidP="008B7308">
      <w:pPr>
        <w:numPr>
          <w:ilvl w:val="0"/>
          <w:numId w:val="22"/>
        </w:numPr>
        <w:tabs>
          <w:tab w:val="clear" w:pos="288"/>
          <w:tab w:val="num" w:pos="360"/>
        </w:tabs>
        <w:ind w:left="360" w:hanging="360"/>
        <w:jc w:val="both"/>
        <w:rPr>
          <w:rFonts w:ascii="Arial" w:hAnsi="Arial" w:cs="Arial"/>
        </w:rPr>
      </w:pPr>
      <w:r w:rsidRPr="007F16EB">
        <w:rPr>
          <w:rFonts w:ascii="Arial" w:hAnsi="Arial" w:cs="Arial"/>
          <w:color w:val="000000"/>
        </w:rPr>
        <w:t>Resources restricted or designated for the acquisition/construction of the government’s own capital assets</w:t>
      </w:r>
    </w:p>
    <w:p w14:paraId="78FC4248" w14:textId="77777777" w:rsidR="008B7308" w:rsidRPr="007F16EB" w:rsidRDefault="008B7308" w:rsidP="008B7308">
      <w:pPr>
        <w:numPr>
          <w:ilvl w:val="0"/>
          <w:numId w:val="22"/>
        </w:numPr>
        <w:tabs>
          <w:tab w:val="clear" w:pos="288"/>
          <w:tab w:val="num" w:pos="360"/>
        </w:tabs>
        <w:ind w:left="360" w:hanging="360"/>
        <w:jc w:val="both"/>
        <w:rPr>
          <w:rFonts w:ascii="Arial" w:hAnsi="Arial" w:cs="Arial"/>
        </w:rPr>
      </w:pPr>
      <w:r w:rsidRPr="007F16EB">
        <w:rPr>
          <w:rFonts w:ascii="Arial" w:hAnsi="Arial" w:cs="Arial"/>
          <w:color w:val="000000"/>
        </w:rPr>
        <w:t>Resources legally segregated for the payment of principal and interest only (as required by debt covenants) and that cannot be used to pay other current liabilities.</w:t>
      </w:r>
    </w:p>
    <w:p w14:paraId="0087B8C0" w14:textId="77777777" w:rsidR="008B7308" w:rsidRDefault="008B7308" w:rsidP="008B7308">
      <w:pPr>
        <w:numPr>
          <w:ilvl w:val="0"/>
          <w:numId w:val="22"/>
        </w:numPr>
        <w:tabs>
          <w:tab w:val="clear" w:pos="288"/>
          <w:tab w:val="num" w:pos="360"/>
        </w:tabs>
        <w:ind w:left="360" w:hanging="360"/>
        <w:jc w:val="both"/>
        <w:rPr>
          <w:rFonts w:ascii="Arial" w:hAnsi="Arial" w:cs="Arial"/>
        </w:rPr>
      </w:pPr>
      <w:r w:rsidRPr="007F16EB">
        <w:rPr>
          <w:rFonts w:ascii="Arial" w:hAnsi="Arial" w:cs="Arial"/>
        </w:rPr>
        <w:t>Temporarily invested debt proceeds.</w:t>
      </w:r>
    </w:p>
    <w:p w14:paraId="71C74323" w14:textId="77777777" w:rsidR="008B7308" w:rsidRPr="007F16EB" w:rsidRDefault="008B7308" w:rsidP="008B7308">
      <w:pPr>
        <w:numPr>
          <w:ilvl w:val="0"/>
          <w:numId w:val="22"/>
        </w:numPr>
        <w:tabs>
          <w:tab w:val="clear" w:pos="288"/>
          <w:tab w:val="num" w:pos="360"/>
        </w:tabs>
        <w:ind w:left="360" w:hanging="360"/>
        <w:jc w:val="both"/>
        <w:rPr>
          <w:rFonts w:ascii="Arial" w:hAnsi="Arial" w:cs="Arial"/>
        </w:rPr>
      </w:pPr>
      <w:r>
        <w:rPr>
          <w:rFonts w:ascii="Arial" w:hAnsi="Arial" w:cs="Arial"/>
        </w:rPr>
        <w:t>Nonexpendable resources of permanent funds.</w:t>
      </w:r>
    </w:p>
    <w:p w14:paraId="04678810" w14:textId="77777777" w:rsidR="008B7308" w:rsidRDefault="008B7308">
      <w:pPr>
        <w:rPr>
          <w:rFonts w:ascii="Arial" w:hAnsi="Arial" w:cs="Arial"/>
        </w:rPr>
      </w:pPr>
    </w:p>
    <w:p w14:paraId="12DB6D83" w14:textId="5FF7ED26" w:rsidR="004E46A3" w:rsidRPr="00473A6E" w:rsidRDefault="004E46A3" w:rsidP="00AB5E55">
      <w:pPr>
        <w:pStyle w:val="Footer"/>
        <w:tabs>
          <w:tab w:val="clear" w:pos="4320"/>
          <w:tab w:val="clear" w:pos="8640"/>
        </w:tabs>
        <w:rPr>
          <w:rFonts w:ascii="Arial" w:hAnsi="Arial" w:cs="Arial"/>
          <w:b/>
          <w:i/>
        </w:rPr>
      </w:pPr>
      <w:r w:rsidRPr="00473A6E">
        <w:rPr>
          <w:rFonts w:ascii="Arial" w:hAnsi="Arial" w:cs="Arial"/>
          <w:b/>
          <w:i/>
        </w:rPr>
        <w:t xml:space="preserve">Current Restricted Assets – Accounts </w:t>
      </w:r>
      <w:r w:rsidRPr="009EA386">
        <w:rPr>
          <w:rFonts w:ascii="Arial" w:hAnsi="Arial" w:cs="Arial"/>
          <w:b/>
          <w:bCs/>
          <w:i/>
          <w:iCs/>
        </w:rPr>
        <w:t>11RXXX</w:t>
      </w:r>
      <w:r w:rsidR="60E557CF" w:rsidRPr="009EA386">
        <w:rPr>
          <w:rFonts w:ascii="Arial" w:hAnsi="Arial" w:cs="Arial"/>
          <w:b/>
          <w:bCs/>
          <w:i/>
          <w:iCs/>
        </w:rPr>
        <w:t>XX</w:t>
      </w:r>
      <w:r w:rsidR="00AB5E55">
        <w:rPr>
          <w:rFonts w:ascii="Arial" w:hAnsi="Arial" w:cs="Arial"/>
          <w:b/>
          <w:i/>
        </w:rPr>
        <w:t xml:space="preserve"> and some </w:t>
      </w:r>
      <w:r w:rsidR="00AB5E55" w:rsidRPr="009EA386">
        <w:rPr>
          <w:rFonts w:ascii="Arial" w:hAnsi="Arial" w:cs="Arial"/>
          <w:b/>
          <w:bCs/>
          <w:i/>
          <w:iCs/>
        </w:rPr>
        <w:t>112XXX</w:t>
      </w:r>
      <w:r w:rsidR="7BB03474" w:rsidRPr="009EA386">
        <w:rPr>
          <w:rFonts w:ascii="Arial" w:hAnsi="Arial" w:cs="Arial"/>
          <w:b/>
          <w:bCs/>
          <w:i/>
          <w:iCs/>
        </w:rPr>
        <w:t>XX</w:t>
      </w:r>
    </w:p>
    <w:p w14:paraId="0704E7B3" w14:textId="77777777" w:rsidR="004E46A3" w:rsidRPr="00AB5E55" w:rsidRDefault="00153472" w:rsidP="00473A6E">
      <w:pPr>
        <w:pStyle w:val="BodyText"/>
        <w:rPr>
          <w:color w:val="auto"/>
        </w:rPr>
      </w:pPr>
      <w:r w:rsidRPr="00AB5E55">
        <w:rPr>
          <w:color w:val="auto"/>
        </w:rPr>
        <w:t>When restricted assets are being used to repay maturing debt or other accrued liabilities, the appropriate portion of each should be treated as a current asset and a current liability.  To report the debt as current, but the restricted assets that will be used to repay it as noncurrent, would distort working capital.</w:t>
      </w:r>
    </w:p>
    <w:p w14:paraId="62397ED7" w14:textId="77777777" w:rsidR="00AB5E55" w:rsidRDefault="00AB5E55" w:rsidP="00473A6E">
      <w:pPr>
        <w:pStyle w:val="BodyText"/>
      </w:pPr>
    </w:p>
    <w:p w14:paraId="52C3DC84" w14:textId="77777777" w:rsidR="00AB5E55" w:rsidRPr="00E00AFB" w:rsidRDefault="00AB5E55" w:rsidP="00AB5E55">
      <w:pPr>
        <w:rPr>
          <w:rFonts w:ascii="Arial" w:hAnsi="Arial" w:cs="Arial"/>
        </w:rPr>
      </w:pPr>
      <w:r w:rsidRPr="00E00AFB">
        <w:rPr>
          <w:rFonts w:ascii="Arial" w:hAnsi="Arial" w:cs="Arial"/>
        </w:rPr>
        <w:t>Cash, Cash Equivalents, and Pooled Cash – Current Restricted</w:t>
      </w:r>
    </w:p>
    <w:p w14:paraId="3EEF88B3" w14:textId="6673BB1E" w:rsidR="00AB5E55" w:rsidRPr="00AB5E55" w:rsidRDefault="00AB5E55" w:rsidP="00AB5E55">
      <w:pPr>
        <w:pStyle w:val="BodyText"/>
        <w:rPr>
          <w:rFonts w:cs="Arial"/>
          <w:color w:val="auto"/>
        </w:rPr>
      </w:pPr>
      <w:r w:rsidRPr="009EA386">
        <w:rPr>
          <w:rFonts w:cs="Arial"/>
          <w:color w:val="auto"/>
        </w:rPr>
        <w:t>11RXXX</w:t>
      </w:r>
      <w:r w:rsidR="6CC66A30" w:rsidRPr="009EA386">
        <w:rPr>
          <w:rFonts w:cs="Arial"/>
          <w:color w:val="auto"/>
        </w:rPr>
        <w:t>XX</w:t>
      </w:r>
      <w:r w:rsidRPr="00AB5E55">
        <w:rPr>
          <w:rFonts w:cs="Arial"/>
          <w:color w:val="auto"/>
        </w:rPr>
        <w:t xml:space="preserve"> Accounts</w:t>
      </w:r>
    </w:p>
    <w:p w14:paraId="065BFF37" w14:textId="77777777" w:rsidR="00AB5E55" w:rsidRDefault="00AB5E55" w:rsidP="00AB5E55">
      <w:pPr>
        <w:pStyle w:val="BodyText"/>
        <w:rPr>
          <w:rFonts w:cs="Arial"/>
        </w:rPr>
      </w:pPr>
    </w:p>
    <w:p w14:paraId="125A9FB3" w14:textId="77777777" w:rsidR="00AB5E55" w:rsidRPr="00E00AFB" w:rsidRDefault="00AB5E55" w:rsidP="00AB5E55">
      <w:pPr>
        <w:rPr>
          <w:rFonts w:ascii="Arial" w:hAnsi="Arial" w:cs="Arial"/>
        </w:rPr>
      </w:pPr>
      <w:r w:rsidRPr="00E00AFB">
        <w:rPr>
          <w:rFonts w:ascii="Arial" w:hAnsi="Arial" w:cs="Arial"/>
        </w:rPr>
        <w:t>Investments Outside the State Treasurer and Pooled Investments – Current Restricted</w:t>
      </w:r>
    </w:p>
    <w:p w14:paraId="39AD4AC7" w14:textId="17788E8F" w:rsidR="00AB5E55" w:rsidRDefault="00AB5E55" w:rsidP="00AB5E55">
      <w:pPr>
        <w:rPr>
          <w:rFonts w:ascii="Arial" w:hAnsi="Arial" w:cs="Arial"/>
        </w:rPr>
      </w:pPr>
      <w:r w:rsidRPr="009EA386">
        <w:rPr>
          <w:rFonts w:ascii="Arial" w:hAnsi="Arial" w:cs="Arial"/>
        </w:rPr>
        <w:t>112125</w:t>
      </w:r>
      <w:r w:rsidR="60F2817C" w:rsidRPr="009EA386">
        <w:rPr>
          <w:rFonts w:ascii="Arial" w:hAnsi="Arial" w:cs="Arial"/>
        </w:rPr>
        <w:t>00</w:t>
      </w:r>
      <w:r>
        <w:rPr>
          <w:rFonts w:ascii="Arial" w:hAnsi="Arial" w:cs="Arial"/>
        </w:rPr>
        <w:t xml:space="preserve"> - Restricted Investments</w:t>
      </w:r>
    </w:p>
    <w:p w14:paraId="481A8956" w14:textId="366B26CA" w:rsidR="00AB5E55" w:rsidRDefault="00AB5E55" w:rsidP="00AB5E55">
      <w:pPr>
        <w:rPr>
          <w:rFonts w:ascii="Arial" w:hAnsi="Arial" w:cs="Arial"/>
        </w:rPr>
      </w:pPr>
      <w:r w:rsidRPr="009EA386">
        <w:rPr>
          <w:rFonts w:ascii="Arial" w:hAnsi="Arial" w:cs="Arial"/>
        </w:rPr>
        <w:t>112152</w:t>
      </w:r>
      <w:r w:rsidR="07838293" w:rsidRPr="009EA386">
        <w:rPr>
          <w:rFonts w:ascii="Arial" w:hAnsi="Arial" w:cs="Arial"/>
        </w:rPr>
        <w:t>00</w:t>
      </w:r>
      <w:r>
        <w:rPr>
          <w:rFonts w:ascii="Arial" w:hAnsi="Arial" w:cs="Arial"/>
        </w:rPr>
        <w:t xml:space="preserve"> - Allowance Fair Value Restricted Investments</w:t>
      </w:r>
    </w:p>
    <w:p w14:paraId="3D13884D" w14:textId="20B07AF6" w:rsidR="00AB5E55" w:rsidRPr="00AB5E55" w:rsidRDefault="00AB5E55" w:rsidP="00AB5E55">
      <w:pPr>
        <w:pStyle w:val="BodyText"/>
        <w:rPr>
          <w:rFonts w:cs="Arial"/>
          <w:color w:val="auto"/>
        </w:rPr>
      </w:pPr>
      <w:r w:rsidRPr="009EA386">
        <w:rPr>
          <w:rFonts w:cs="Arial"/>
          <w:color w:val="auto"/>
        </w:rPr>
        <w:t>112250</w:t>
      </w:r>
      <w:r w:rsidR="25786E09" w:rsidRPr="009EA386">
        <w:rPr>
          <w:rFonts w:cs="Arial"/>
          <w:color w:val="auto"/>
        </w:rPr>
        <w:t>00</w:t>
      </w:r>
      <w:r w:rsidRPr="00AB5E55">
        <w:rPr>
          <w:rFonts w:cs="Arial"/>
          <w:color w:val="auto"/>
        </w:rPr>
        <w:t xml:space="preserve"> - Bond Proceeds – Restricted (For Use Only by State Treasurer and OSC Central Accounts)</w:t>
      </w:r>
    </w:p>
    <w:p w14:paraId="3160C691" w14:textId="77777777" w:rsidR="00AB5E55" w:rsidRPr="00473A6E" w:rsidRDefault="00AB5E55" w:rsidP="00AB5E55">
      <w:pPr>
        <w:pStyle w:val="BodyText"/>
        <w:rPr>
          <w:rFonts w:cs="Arial"/>
          <w:color w:val="auto"/>
        </w:rPr>
      </w:pPr>
    </w:p>
    <w:p w14:paraId="68AE8549" w14:textId="77777777" w:rsidR="004E46A3" w:rsidRPr="00473A6E" w:rsidRDefault="004E46A3" w:rsidP="00473A6E">
      <w:pPr>
        <w:jc w:val="both"/>
        <w:rPr>
          <w:rFonts w:ascii="Arial" w:hAnsi="Arial" w:cs="Arial"/>
        </w:rPr>
      </w:pPr>
    </w:p>
    <w:p w14:paraId="0A3C2ED8" w14:textId="77777777" w:rsidR="004E46A3" w:rsidRPr="008B7308" w:rsidRDefault="004E46A3" w:rsidP="00AB5E55">
      <w:pPr>
        <w:pStyle w:val="Heading5"/>
        <w:jc w:val="left"/>
        <w:rPr>
          <w:rFonts w:ascii="Arial" w:hAnsi="Arial" w:cs="Arial"/>
          <w:i/>
          <w:sz w:val="20"/>
        </w:rPr>
      </w:pPr>
      <w:r w:rsidRPr="008B7308">
        <w:rPr>
          <w:rFonts w:ascii="Arial" w:hAnsi="Arial" w:cs="Arial"/>
          <w:i/>
          <w:sz w:val="20"/>
        </w:rPr>
        <w:t>Non-Current Restricted Assets – Accounts 12XXXX</w:t>
      </w:r>
    </w:p>
    <w:p w14:paraId="41DDC878" w14:textId="77777777" w:rsidR="00153472" w:rsidRPr="00E00AFB" w:rsidRDefault="00153472" w:rsidP="00153472">
      <w:pPr>
        <w:rPr>
          <w:rFonts w:ascii="Arial" w:hAnsi="Arial" w:cs="Arial"/>
        </w:rPr>
      </w:pPr>
      <w:r w:rsidRPr="00E00AFB">
        <w:rPr>
          <w:rFonts w:ascii="Arial" w:hAnsi="Arial" w:cs="Arial"/>
        </w:rPr>
        <w:t>Cash, Cash Equivalents, Pooled Cash – Noncurrent Restricted</w:t>
      </w:r>
    </w:p>
    <w:p w14:paraId="74607FAE" w14:textId="7AC2DAF9" w:rsidR="00153472" w:rsidRDefault="00153472" w:rsidP="00153472">
      <w:pPr>
        <w:tabs>
          <w:tab w:val="left" w:pos="2160"/>
        </w:tabs>
        <w:spacing w:line="240" w:lineRule="atLeast"/>
        <w:jc w:val="both"/>
        <w:rPr>
          <w:rFonts w:ascii="Arial" w:hAnsi="Arial" w:cs="Arial"/>
        </w:rPr>
      </w:pPr>
      <w:r w:rsidRPr="009EA386">
        <w:rPr>
          <w:rFonts w:ascii="Arial" w:hAnsi="Arial" w:cs="Arial"/>
        </w:rPr>
        <w:t>121XXX</w:t>
      </w:r>
      <w:r w:rsidR="30F067C2" w:rsidRPr="009EA386">
        <w:rPr>
          <w:rFonts w:ascii="Arial" w:hAnsi="Arial" w:cs="Arial"/>
        </w:rPr>
        <w:t>XX</w:t>
      </w:r>
      <w:r>
        <w:rPr>
          <w:rFonts w:ascii="Arial" w:hAnsi="Arial" w:cs="Arial"/>
        </w:rPr>
        <w:t xml:space="preserve"> Accounts</w:t>
      </w:r>
    </w:p>
    <w:p w14:paraId="350F191E" w14:textId="77777777" w:rsidR="00153472" w:rsidRDefault="00153472" w:rsidP="00153472">
      <w:pPr>
        <w:tabs>
          <w:tab w:val="left" w:pos="2160"/>
        </w:tabs>
        <w:spacing w:line="240" w:lineRule="atLeast"/>
        <w:jc w:val="both"/>
        <w:rPr>
          <w:rFonts w:ascii="Arial" w:hAnsi="Arial" w:cs="Arial"/>
        </w:rPr>
      </w:pPr>
    </w:p>
    <w:p w14:paraId="1F4364C0" w14:textId="77777777" w:rsidR="00153472" w:rsidRPr="00E00AFB" w:rsidRDefault="00153472" w:rsidP="00153472">
      <w:pPr>
        <w:rPr>
          <w:rFonts w:ascii="Arial" w:hAnsi="Arial" w:cs="Arial"/>
        </w:rPr>
      </w:pPr>
      <w:r w:rsidRPr="00E00AFB">
        <w:rPr>
          <w:rFonts w:ascii="Arial" w:hAnsi="Arial" w:cs="Arial"/>
        </w:rPr>
        <w:t>Investments Outside the State Treasurer – Noncurrent Restricted</w:t>
      </w:r>
    </w:p>
    <w:p w14:paraId="777CCCD9" w14:textId="57CADF53" w:rsidR="00153472" w:rsidRDefault="00153472" w:rsidP="00153472">
      <w:pPr>
        <w:rPr>
          <w:rFonts w:ascii="Arial" w:hAnsi="Arial" w:cs="Arial"/>
        </w:rPr>
      </w:pPr>
      <w:r w:rsidRPr="009EA386">
        <w:rPr>
          <w:rFonts w:ascii="Arial" w:hAnsi="Arial" w:cs="Arial"/>
        </w:rPr>
        <w:t>122125</w:t>
      </w:r>
      <w:r w:rsidR="1DC73A84" w:rsidRPr="009EA386">
        <w:rPr>
          <w:rFonts w:ascii="Arial" w:hAnsi="Arial" w:cs="Arial"/>
        </w:rPr>
        <w:t>00</w:t>
      </w:r>
      <w:r>
        <w:rPr>
          <w:rFonts w:ascii="Arial" w:hAnsi="Arial" w:cs="Arial"/>
        </w:rPr>
        <w:t xml:space="preserve"> – Endowment Investments</w:t>
      </w:r>
    </w:p>
    <w:p w14:paraId="09CB9C64" w14:textId="03CB6397" w:rsidR="00153472" w:rsidRDefault="00153472" w:rsidP="00153472">
      <w:pPr>
        <w:rPr>
          <w:rFonts w:ascii="Arial" w:hAnsi="Arial" w:cs="Arial"/>
        </w:rPr>
      </w:pPr>
      <w:r w:rsidRPr="009EA386">
        <w:rPr>
          <w:rFonts w:ascii="Arial" w:hAnsi="Arial" w:cs="Arial"/>
        </w:rPr>
        <w:t>122126</w:t>
      </w:r>
      <w:r w:rsidR="410F07EF" w:rsidRPr="009EA386">
        <w:rPr>
          <w:rFonts w:ascii="Arial" w:hAnsi="Arial" w:cs="Arial"/>
        </w:rPr>
        <w:t>00</w:t>
      </w:r>
      <w:r>
        <w:rPr>
          <w:rFonts w:ascii="Arial" w:hAnsi="Arial" w:cs="Arial"/>
        </w:rPr>
        <w:t xml:space="preserve"> – Restricted Investments</w:t>
      </w:r>
    </w:p>
    <w:p w14:paraId="633B7008" w14:textId="7B514E01" w:rsidR="00153472" w:rsidRDefault="00153472" w:rsidP="00153472">
      <w:pPr>
        <w:rPr>
          <w:rFonts w:ascii="Arial" w:hAnsi="Arial" w:cs="Arial"/>
        </w:rPr>
      </w:pPr>
      <w:r w:rsidRPr="009EA386">
        <w:rPr>
          <w:rFonts w:ascii="Arial" w:hAnsi="Arial" w:cs="Arial"/>
        </w:rPr>
        <w:t>122152</w:t>
      </w:r>
      <w:r w:rsidR="0B8C80A6" w:rsidRPr="009EA386">
        <w:rPr>
          <w:rFonts w:ascii="Arial" w:hAnsi="Arial" w:cs="Arial"/>
        </w:rPr>
        <w:t>00</w:t>
      </w:r>
      <w:r>
        <w:rPr>
          <w:rFonts w:ascii="Arial" w:hAnsi="Arial" w:cs="Arial"/>
        </w:rPr>
        <w:t xml:space="preserve"> – Allowance Fair Value Endowment Investments</w:t>
      </w:r>
    </w:p>
    <w:p w14:paraId="7A45DC96" w14:textId="6043FF21" w:rsidR="00153472" w:rsidRDefault="00153472" w:rsidP="00153472">
      <w:pPr>
        <w:rPr>
          <w:rFonts w:ascii="Arial" w:hAnsi="Arial" w:cs="Arial"/>
        </w:rPr>
      </w:pPr>
      <w:r w:rsidRPr="009EA386">
        <w:rPr>
          <w:rFonts w:ascii="Arial" w:hAnsi="Arial" w:cs="Arial"/>
        </w:rPr>
        <w:t>122153</w:t>
      </w:r>
      <w:r w:rsidR="5F834979" w:rsidRPr="009EA386">
        <w:rPr>
          <w:rFonts w:ascii="Arial" w:hAnsi="Arial" w:cs="Arial"/>
        </w:rPr>
        <w:t>00</w:t>
      </w:r>
      <w:r>
        <w:rPr>
          <w:rFonts w:ascii="Arial" w:hAnsi="Arial" w:cs="Arial"/>
        </w:rPr>
        <w:t xml:space="preserve"> – Allowance Fair Value Restricted Investments</w:t>
      </w:r>
    </w:p>
    <w:p w14:paraId="652C6618" w14:textId="77777777" w:rsidR="00153472" w:rsidRDefault="00153472" w:rsidP="00153472">
      <w:pPr>
        <w:tabs>
          <w:tab w:val="left" w:pos="2160"/>
        </w:tabs>
        <w:spacing w:line="240" w:lineRule="atLeast"/>
        <w:jc w:val="both"/>
        <w:rPr>
          <w:rFonts w:ascii="Arial" w:hAnsi="Arial" w:cs="Arial"/>
          <w:b/>
        </w:rPr>
      </w:pPr>
    </w:p>
    <w:p w14:paraId="73558D71" w14:textId="77777777" w:rsidR="00153472" w:rsidRPr="00E00AFB" w:rsidRDefault="00153472" w:rsidP="00153472">
      <w:pPr>
        <w:rPr>
          <w:rFonts w:ascii="Arial" w:hAnsi="Arial" w:cs="Arial"/>
        </w:rPr>
      </w:pPr>
      <w:r w:rsidRPr="00E00AFB">
        <w:rPr>
          <w:rFonts w:ascii="Arial" w:hAnsi="Arial" w:cs="Arial"/>
        </w:rPr>
        <w:t>Receivables – Noncurrent Restricted</w:t>
      </w:r>
    </w:p>
    <w:p w14:paraId="34202961" w14:textId="1959E86F" w:rsidR="00A419A4" w:rsidRDefault="00153472" w:rsidP="00C26EBC">
      <w:pPr>
        <w:spacing w:line="360" w:lineRule="auto"/>
        <w:rPr>
          <w:rFonts w:ascii="Arial Narrow" w:hAnsi="Arial Narrow"/>
          <w:b/>
          <w:sz w:val="24"/>
          <w:szCs w:val="24"/>
          <w:u w:val="single"/>
        </w:rPr>
      </w:pPr>
      <w:r w:rsidRPr="009EA386">
        <w:rPr>
          <w:rFonts w:ascii="Arial" w:hAnsi="Arial" w:cs="Arial"/>
        </w:rPr>
        <w:t>124100</w:t>
      </w:r>
      <w:r w:rsidR="36637C3E" w:rsidRPr="009EA386">
        <w:rPr>
          <w:rFonts w:ascii="Arial" w:hAnsi="Arial" w:cs="Arial"/>
        </w:rPr>
        <w:t>00</w:t>
      </w:r>
      <w:r>
        <w:rPr>
          <w:rFonts w:ascii="Arial" w:hAnsi="Arial" w:cs="Arial"/>
        </w:rPr>
        <w:t xml:space="preserve"> - Restricted Due </w:t>
      </w:r>
      <w:proofErr w:type="gramStart"/>
      <w:r>
        <w:rPr>
          <w:rFonts w:ascii="Arial" w:hAnsi="Arial" w:cs="Arial"/>
        </w:rPr>
        <w:t>From</w:t>
      </w:r>
      <w:proofErr w:type="gramEnd"/>
      <w:r>
        <w:rPr>
          <w:rFonts w:ascii="Arial" w:hAnsi="Arial" w:cs="Arial"/>
        </w:rPr>
        <w:t xml:space="preserve"> Primary Government</w:t>
      </w:r>
    </w:p>
    <w:p w14:paraId="50E0357F" w14:textId="77777777" w:rsidR="00A419A4" w:rsidRDefault="00A419A4">
      <w:pPr>
        <w:rPr>
          <w:rFonts w:ascii="Arial Narrow" w:hAnsi="Arial Narrow"/>
          <w:b/>
          <w:sz w:val="24"/>
          <w:szCs w:val="24"/>
          <w:u w:val="single"/>
        </w:rPr>
      </w:pPr>
    </w:p>
    <w:p w14:paraId="44711903" w14:textId="77777777" w:rsidR="00470D6E" w:rsidRPr="00470D6E" w:rsidRDefault="00470D6E">
      <w:pPr>
        <w:rPr>
          <w:rFonts w:ascii="Arial Narrow" w:hAnsi="Arial Narrow"/>
          <w:b/>
          <w:sz w:val="24"/>
          <w:szCs w:val="24"/>
          <w:u w:val="single"/>
        </w:rPr>
      </w:pPr>
      <w:r w:rsidRPr="00470D6E">
        <w:rPr>
          <w:rFonts w:ascii="Arial Narrow" w:hAnsi="Arial Narrow"/>
          <w:b/>
          <w:sz w:val="24"/>
          <w:szCs w:val="24"/>
          <w:u w:val="single"/>
        </w:rPr>
        <w:t>Investment Type Definitions</w:t>
      </w:r>
    </w:p>
    <w:p w14:paraId="41D953B1" w14:textId="77777777" w:rsidR="00470D6E" w:rsidRDefault="00470D6E">
      <w:pPr>
        <w:rPr>
          <w:rFonts w:ascii="Arial Narrow" w:hAnsi="Arial Narrow"/>
        </w:rPr>
      </w:pPr>
    </w:p>
    <w:p w14:paraId="496C91B4" w14:textId="77777777" w:rsidR="00061D5E" w:rsidRPr="00061D5E" w:rsidRDefault="00061D5E" w:rsidP="00061D5E">
      <w:pPr>
        <w:jc w:val="both"/>
        <w:rPr>
          <w:rFonts w:ascii="Arial Narrow" w:hAnsi="Arial Narrow" w:cs="Arial"/>
        </w:rPr>
      </w:pPr>
      <w:r w:rsidRPr="00061D5E">
        <w:rPr>
          <w:rFonts w:ascii="Arial Narrow" w:hAnsi="Arial Narrow" w:cs="Arial"/>
          <w:b/>
        </w:rPr>
        <w:t>Annuity contracts</w:t>
      </w:r>
      <w:r w:rsidRPr="00061D5E">
        <w:rPr>
          <w:rFonts w:ascii="Arial Narrow" w:hAnsi="Arial Narrow" w:cs="Arial"/>
        </w:rPr>
        <w:t xml:space="preserve"> – </w:t>
      </w:r>
      <w:r w:rsidR="00737C33">
        <w:rPr>
          <w:rFonts w:ascii="Arial Narrow" w:hAnsi="Arial Narrow" w:cs="Arial"/>
        </w:rPr>
        <w:t xml:space="preserve">Annuities are investment products </w:t>
      </w:r>
      <w:r w:rsidR="00392BEC">
        <w:rPr>
          <w:rFonts w:ascii="Arial Narrow" w:hAnsi="Arial Narrow" w:cs="Arial"/>
        </w:rPr>
        <w:t>purchased</w:t>
      </w:r>
      <w:r w:rsidR="00737C33">
        <w:rPr>
          <w:rFonts w:ascii="Arial Narrow" w:hAnsi="Arial Narrow" w:cs="Arial"/>
        </w:rPr>
        <w:t xml:space="preserve"> through insurance companies. The </w:t>
      </w:r>
      <w:r>
        <w:rPr>
          <w:rFonts w:ascii="Arial Narrow" w:hAnsi="Arial Narrow" w:cs="Arial"/>
        </w:rPr>
        <w:t xml:space="preserve">annuity </w:t>
      </w:r>
      <w:r w:rsidR="00737C33">
        <w:rPr>
          <w:rFonts w:ascii="Arial Narrow" w:hAnsi="Arial Narrow" w:cs="Arial"/>
        </w:rPr>
        <w:t xml:space="preserve">itself </w:t>
      </w:r>
      <w:r>
        <w:rPr>
          <w:rFonts w:ascii="Arial Narrow" w:hAnsi="Arial Narrow" w:cs="Arial"/>
        </w:rPr>
        <w:t>is a</w:t>
      </w:r>
      <w:r w:rsidRPr="00061D5E">
        <w:rPr>
          <w:rFonts w:ascii="Arial Narrow" w:hAnsi="Arial Narrow"/>
          <w:color w:val="222222"/>
          <w:lang w:val="en"/>
        </w:rPr>
        <w:t xml:space="preserve"> contract between an insurance company and </w:t>
      </w:r>
      <w:r>
        <w:rPr>
          <w:rFonts w:ascii="Arial Narrow" w:hAnsi="Arial Narrow"/>
          <w:color w:val="222222"/>
          <w:lang w:val="en"/>
        </w:rPr>
        <w:t>the annuity owner</w:t>
      </w:r>
      <w:r w:rsidRPr="00061D5E">
        <w:rPr>
          <w:rFonts w:ascii="Arial Narrow" w:hAnsi="Arial Narrow"/>
          <w:color w:val="222222"/>
          <w:lang w:val="en"/>
        </w:rPr>
        <w:t xml:space="preserve"> that provides for periodic payments to the </w:t>
      </w:r>
      <w:r w:rsidR="00737C33">
        <w:rPr>
          <w:rFonts w:ascii="Arial Narrow" w:hAnsi="Arial Narrow"/>
          <w:color w:val="222222"/>
          <w:lang w:val="en"/>
        </w:rPr>
        <w:t>annuity owner</w:t>
      </w:r>
      <w:r w:rsidRPr="00061D5E">
        <w:rPr>
          <w:rFonts w:ascii="Arial Narrow" w:hAnsi="Arial Narrow"/>
          <w:color w:val="222222"/>
          <w:lang w:val="en"/>
        </w:rPr>
        <w:t xml:space="preserve"> or designated beneficiary in return for an investment</w:t>
      </w:r>
      <w:r w:rsidRPr="00061D5E">
        <w:rPr>
          <w:rFonts w:ascii="Arial Narrow" w:hAnsi="Arial Narrow" w:cs="Arial"/>
        </w:rPr>
        <w:t>.</w:t>
      </w:r>
    </w:p>
    <w:p w14:paraId="651E8F83" w14:textId="77777777" w:rsidR="00061D5E" w:rsidRPr="007769B0" w:rsidRDefault="00061D5E">
      <w:pPr>
        <w:rPr>
          <w:rFonts w:ascii="Arial Narrow" w:hAnsi="Arial Narrow"/>
        </w:rPr>
      </w:pPr>
    </w:p>
    <w:p w14:paraId="60748EB9" w14:textId="77777777" w:rsidR="007769B0" w:rsidRPr="00473A6E" w:rsidRDefault="007769B0" w:rsidP="00473A6E">
      <w:pPr>
        <w:jc w:val="both"/>
        <w:rPr>
          <w:rFonts w:ascii="Arial Narrow" w:hAnsi="Arial Narrow" w:cs="Arial"/>
        </w:rPr>
      </w:pPr>
      <w:r w:rsidRPr="00473A6E">
        <w:rPr>
          <w:rFonts w:ascii="Arial Narrow" w:hAnsi="Arial Narrow" w:cs="Arial"/>
          <w:b/>
        </w:rPr>
        <w:lastRenderedPageBreak/>
        <w:t>Asset-backed securities</w:t>
      </w:r>
      <w:r w:rsidRPr="00473A6E">
        <w:rPr>
          <w:rFonts w:ascii="Arial Narrow" w:hAnsi="Arial Narrow" w:cs="Arial"/>
        </w:rPr>
        <w:t xml:space="preserve"> – These securities are bonds or notes backed by financial assets. </w:t>
      </w:r>
      <w:proofErr w:type="gramStart"/>
      <w:r w:rsidRPr="00473A6E">
        <w:rPr>
          <w:rFonts w:ascii="Arial Narrow" w:hAnsi="Arial Narrow" w:cs="Arial"/>
        </w:rPr>
        <w:t>Typically</w:t>
      </w:r>
      <w:proofErr w:type="gramEnd"/>
      <w:r w:rsidRPr="00473A6E">
        <w:rPr>
          <w:rFonts w:ascii="Arial Narrow" w:hAnsi="Arial Narrow" w:cs="Arial"/>
        </w:rPr>
        <w:t xml:space="preserve"> these assets consist of receivables other than mortgage loans, such as credit card receivables, auto loans, manufactured-housing contracts and home-equity loans.</w:t>
      </w:r>
    </w:p>
    <w:p w14:paraId="72942BE4" w14:textId="77777777" w:rsidR="007769B0" w:rsidRDefault="007769B0" w:rsidP="00473A6E">
      <w:pPr>
        <w:ind w:left="480" w:hanging="480"/>
        <w:jc w:val="both"/>
        <w:rPr>
          <w:rFonts w:ascii="Arial Narrow" w:hAnsi="Arial Narrow"/>
        </w:rPr>
      </w:pPr>
    </w:p>
    <w:p w14:paraId="3964BE1E" w14:textId="77777777" w:rsidR="00C71D33" w:rsidRPr="00896186" w:rsidRDefault="00C71D33" w:rsidP="00896186">
      <w:pPr>
        <w:jc w:val="both"/>
        <w:rPr>
          <w:rFonts w:ascii="Arial Narrow" w:hAnsi="Arial Narrow"/>
        </w:rPr>
      </w:pPr>
      <w:r w:rsidRPr="00896186">
        <w:rPr>
          <w:rFonts w:ascii="Arial Narrow" w:hAnsi="Arial Narrow" w:cs="Arial"/>
          <w:b/>
        </w:rPr>
        <w:t>Balanced mutual fund</w:t>
      </w:r>
      <w:r w:rsidRPr="00896186">
        <w:rPr>
          <w:rFonts w:ascii="Arial Narrow" w:hAnsi="Arial Narrow" w:cs="Arial"/>
        </w:rPr>
        <w:t xml:space="preserve"> – </w:t>
      </w:r>
      <w:r w:rsidRPr="00896186">
        <w:rPr>
          <w:rFonts w:ascii="Arial Narrow" w:hAnsi="Arial Narrow"/>
        </w:rPr>
        <w:t>A mutual fund that seeks to provide some combination of growth, income, and conservation of capital by investing in a mix of stocks, bonds, and/or money market instruments</w:t>
      </w:r>
      <w:r w:rsidRPr="00896186">
        <w:rPr>
          <w:rFonts w:ascii="Arial Narrow" w:hAnsi="Arial Narrow" w:cs="Arial"/>
        </w:rPr>
        <w:t>.</w:t>
      </w:r>
    </w:p>
    <w:p w14:paraId="68DE5B24" w14:textId="77777777" w:rsidR="00C71D33" w:rsidRPr="00896186" w:rsidRDefault="00C71D33" w:rsidP="00473A6E">
      <w:pPr>
        <w:ind w:left="480" w:hanging="480"/>
        <w:jc w:val="both"/>
        <w:rPr>
          <w:rFonts w:ascii="Arial Narrow" w:hAnsi="Arial Narrow"/>
        </w:rPr>
      </w:pPr>
    </w:p>
    <w:p w14:paraId="355B508A" w14:textId="77777777" w:rsidR="00E25C7B" w:rsidRPr="00896186" w:rsidRDefault="00E25C7B" w:rsidP="00896186">
      <w:pPr>
        <w:jc w:val="both"/>
        <w:rPr>
          <w:rFonts w:ascii="Arial Narrow" w:hAnsi="Arial Narrow"/>
        </w:rPr>
      </w:pPr>
      <w:r w:rsidRPr="00896186">
        <w:rPr>
          <w:rFonts w:ascii="Arial Narrow" w:hAnsi="Arial Narrow" w:cs="Arial"/>
          <w:b/>
        </w:rPr>
        <w:t xml:space="preserve">Bank investment contracts </w:t>
      </w:r>
      <w:r w:rsidRPr="00896186">
        <w:rPr>
          <w:rFonts w:ascii="Arial Narrow" w:hAnsi="Arial Narrow" w:cs="Arial"/>
        </w:rPr>
        <w:t>-</w:t>
      </w:r>
      <w:r w:rsidR="00896186" w:rsidRPr="00896186">
        <w:rPr>
          <w:rFonts w:ascii="Arial Narrow" w:hAnsi="Arial Narrow" w:cs="Arial"/>
        </w:rPr>
        <w:t xml:space="preserve"> </w:t>
      </w:r>
      <w:r w:rsidRPr="00896186">
        <w:rPr>
          <w:rFonts w:ascii="Arial Narrow" w:hAnsi="Arial Narrow" w:cs="Arial"/>
        </w:rPr>
        <w:t xml:space="preserve">These are general obligation instruments issued by banks or other financial institutions that provide for a guaranteed return on principal over a specified period.  The deposits in these contracts are typically subject to federal insurance </w:t>
      </w:r>
    </w:p>
    <w:p w14:paraId="0B2D9D85" w14:textId="77777777" w:rsidR="00E25C7B" w:rsidRDefault="00E25C7B" w:rsidP="00473A6E">
      <w:pPr>
        <w:ind w:left="480" w:hanging="480"/>
        <w:jc w:val="both"/>
        <w:rPr>
          <w:rFonts w:ascii="Arial Narrow" w:hAnsi="Arial Narrow"/>
        </w:rPr>
      </w:pPr>
    </w:p>
    <w:p w14:paraId="7000B38E" w14:textId="77777777" w:rsidR="00E206B2" w:rsidRDefault="00E206B2" w:rsidP="00E206B2">
      <w:pPr>
        <w:jc w:val="both"/>
        <w:rPr>
          <w:rFonts w:ascii="Arial Narrow" w:hAnsi="Arial Narrow"/>
        </w:rPr>
      </w:pPr>
      <w:r w:rsidRPr="00E206B2">
        <w:rPr>
          <w:rFonts w:ascii="Arial Narrow" w:hAnsi="Arial Narrow"/>
          <w:b/>
        </w:rPr>
        <w:t>Certificates of deposit (nonnegotiable)</w:t>
      </w:r>
      <w:r>
        <w:rPr>
          <w:rFonts w:ascii="Arial Narrow" w:hAnsi="Arial Narrow"/>
        </w:rPr>
        <w:t xml:space="preserve"> - </w:t>
      </w:r>
      <w:r w:rsidRPr="00E206B2">
        <w:rPr>
          <w:rFonts w:ascii="Arial Narrow" w:hAnsi="Arial Narrow"/>
        </w:rPr>
        <w:t xml:space="preserve">CDs </w:t>
      </w:r>
      <w:proofErr w:type="gramStart"/>
      <w:r w:rsidRPr="00E206B2">
        <w:rPr>
          <w:rFonts w:ascii="Arial Narrow" w:hAnsi="Arial Narrow"/>
        </w:rPr>
        <w:t>are time</w:t>
      </w:r>
      <w:proofErr w:type="gramEnd"/>
      <w:r w:rsidRPr="00E206B2">
        <w:rPr>
          <w:rFonts w:ascii="Arial Narrow" w:hAnsi="Arial Narrow"/>
        </w:rPr>
        <w:t xml:space="preserve"> deposits that are placed by depositors directly with financial institutions and that generally are subject to a penalty if redeemed before maturity—and should be treated as deposits for purposes of Statement 3 and 40 disclosures.</w:t>
      </w:r>
    </w:p>
    <w:p w14:paraId="65F55049" w14:textId="77777777" w:rsidR="00E206B2" w:rsidRDefault="00E206B2" w:rsidP="00473A6E">
      <w:pPr>
        <w:ind w:left="480" w:hanging="480"/>
        <w:jc w:val="both"/>
        <w:rPr>
          <w:rFonts w:ascii="Arial Narrow" w:hAnsi="Arial Narrow"/>
        </w:rPr>
      </w:pPr>
    </w:p>
    <w:p w14:paraId="0F15EA8C" w14:textId="77777777" w:rsidR="00470D6E" w:rsidRPr="00473A6E" w:rsidRDefault="00470D6E" w:rsidP="00470D6E">
      <w:pPr>
        <w:jc w:val="both"/>
        <w:rPr>
          <w:rFonts w:ascii="Arial Narrow" w:hAnsi="Arial Narrow" w:cs="Arial"/>
        </w:rPr>
      </w:pPr>
      <w:r w:rsidRPr="00473A6E">
        <w:rPr>
          <w:rFonts w:ascii="Arial Narrow" w:hAnsi="Arial Narrow" w:cs="Arial"/>
          <w:b/>
        </w:rPr>
        <w:t xml:space="preserve">Collateralized </w:t>
      </w:r>
      <w:r w:rsidR="0019158B">
        <w:rPr>
          <w:rFonts w:ascii="Arial Narrow" w:hAnsi="Arial Narrow" w:cs="Arial"/>
          <w:b/>
        </w:rPr>
        <w:t>m</w:t>
      </w:r>
      <w:r w:rsidRPr="00473A6E">
        <w:rPr>
          <w:rFonts w:ascii="Arial Narrow" w:hAnsi="Arial Narrow" w:cs="Arial"/>
          <w:b/>
        </w:rPr>
        <w:t xml:space="preserve">ortgage </w:t>
      </w:r>
      <w:r w:rsidR="0019158B">
        <w:rPr>
          <w:rFonts w:ascii="Arial Narrow" w:hAnsi="Arial Narrow" w:cs="Arial"/>
          <w:b/>
        </w:rPr>
        <w:t>o</w:t>
      </w:r>
      <w:r w:rsidRPr="00473A6E">
        <w:rPr>
          <w:rFonts w:ascii="Arial Narrow" w:hAnsi="Arial Narrow" w:cs="Arial"/>
          <w:b/>
        </w:rPr>
        <w:t>bligations (CMOs)</w:t>
      </w:r>
      <w:r w:rsidRPr="00473A6E">
        <w:rPr>
          <w:rFonts w:ascii="Arial Narrow" w:hAnsi="Arial Narrow" w:cs="Arial"/>
        </w:rPr>
        <w:t xml:space="preserve"> – These securities are created by packaging mortgage pass-through securities (or in some cases mortgage loans themselves) into a multi-class security offering, using the underlying pool of mortgages as collateral.  Common issuers of CMOs include GNMA and government-sponsored enterprises such as Freddie Mac and Fannie Mae.  Private entities such as financial institutions, investment banks, and homebuilders also issue CMOs.</w:t>
      </w:r>
    </w:p>
    <w:p w14:paraId="56D3B129" w14:textId="77777777" w:rsidR="00470D6E" w:rsidRDefault="00470D6E" w:rsidP="00473A6E">
      <w:pPr>
        <w:ind w:left="480" w:hanging="480"/>
        <w:jc w:val="both"/>
        <w:rPr>
          <w:rFonts w:ascii="Arial Narrow" w:hAnsi="Arial Narrow"/>
        </w:rPr>
      </w:pPr>
    </w:p>
    <w:p w14:paraId="1240437F" w14:textId="77777777" w:rsidR="00434234" w:rsidRPr="00BA3F72" w:rsidRDefault="00434234" w:rsidP="00BA3F72">
      <w:pPr>
        <w:jc w:val="both"/>
        <w:rPr>
          <w:rFonts w:ascii="Arial Narrow" w:hAnsi="Arial Narrow" w:cs="Arial"/>
        </w:rPr>
      </w:pPr>
      <w:r w:rsidRPr="00BA3F72">
        <w:rPr>
          <w:rFonts w:ascii="Arial Narrow" w:hAnsi="Arial Narrow" w:cs="Arial"/>
          <w:b/>
        </w:rPr>
        <w:t>Commercial paper</w:t>
      </w:r>
      <w:r w:rsidRPr="00BA3F72">
        <w:rPr>
          <w:rFonts w:ascii="Arial Narrow" w:hAnsi="Arial Narrow" w:cs="Arial"/>
        </w:rPr>
        <w:t xml:space="preserve"> - </w:t>
      </w:r>
      <w:r w:rsidR="00760DE2">
        <w:rPr>
          <w:rFonts w:ascii="Arial Narrow" w:hAnsi="Arial Narrow" w:cs="Arial"/>
        </w:rPr>
        <w:t>This</w:t>
      </w:r>
      <w:r w:rsidRPr="00BA3F72">
        <w:rPr>
          <w:rFonts w:ascii="Arial Narrow" w:hAnsi="Arial Narrow" w:cs="Arial"/>
        </w:rPr>
        <w:t xml:space="preserve"> is a money-market </w:t>
      </w:r>
      <w:hyperlink r:id="rId26" w:tooltip="Security (finance)" w:history="1">
        <w:r w:rsidRPr="00BA3F72">
          <w:rPr>
            <w:rFonts w:ascii="Arial Narrow" w:hAnsi="Arial Narrow" w:cs="Arial"/>
          </w:rPr>
          <w:t>security</w:t>
        </w:r>
      </w:hyperlink>
      <w:r w:rsidRPr="00BA3F72">
        <w:rPr>
          <w:rFonts w:ascii="Arial Narrow" w:hAnsi="Arial Narrow" w:cs="Arial"/>
        </w:rPr>
        <w:t xml:space="preserve"> issued (sold) by large </w:t>
      </w:r>
      <w:hyperlink r:id="rId27" w:tooltip="Bank" w:history="1">
        <w:r w:rsidRPr="00BA3F72">
          <w:rPr>
            <w:rFonts w:ascii="Arial Narrow" w:hAnsi="Arial Narrow" w:cs="Arial"/>
          </w:rPr>
          <w:t>banks</w:t>
        </w:r>
      </w:hyperlink>
      <w:r w:rsidRPr="00BA3F72">
        <w:rPr>
          <w:rFonts w:ascii="Arial Narrow" w:hAnsi="Arial Narrow" w:cs="Arial"/>
        </w:rPr>
        <w:t xml:space="preserve"> and </w:t>
      </w:r>
      <w:hyperlink r:id="rId28" w:tooltip="Corporation" w:history="1">
        <w:r w:rsidRPr="00BA3F72">
          <w:rPr>
            <w:rFonts w:ascii="Arial Narrow" w:hAnsi="Arial Narrow" w:cs="Arial"/>
          </w:rPr>
          <w:t>corporations</w:t>
        </w:r>
      </w:hyperlink>
      <w:r w:rsidRPr="00BA3F72">
        <w:rPr>
          <w:rFonts w:ascii="Arial Narrow" w:hAnsi="Arial Narrow" w:cs="Arial"/>
        </w:rPr>
        <w:t xml:space="preserve"> to get </w:t>
      </w:r>
      <w:hyperlink r:id="rId29" w:history="1">
        <w:r w:rsidRPr="00BA3F72">
          <w:rPr>
            <w:rFonts w:ascii="Arial Narrow" w:hAnsi="Arial Narrow" w:cs="Arial"/>
          </w:rPr>
          <w:t>money</w:t>
        </w:r>
      </w:hyperlink>
      <w:r w:rsidRPr="00BA3F72">
        <w:rPr>
          <w:rFonts w:ascii="Arial Narrow" w:hAnsi="Arial Narrow" w:cs="Arial"/>
        </w:rPr>
        <w:t xml:space="preserve"> to meet short term </w:t>
      </w:r>
      <w:hyperlink r:id="rId30" w:history="1">
        <w:r w:rsidRPr="00BA3F72">
          <w:rPr>
            <w:rFonts w:ascii="Arial Narrow" w:hAnsi="Arial Narrow" w:cs="Arial"/>
          </w:rPr>
          <w:t>debt</w:t>
        </w:r>
      </w:hyperlink>
      <w:r w:rsidRPr="00BA3F72">
        <w:rPr>
          <w:rFonts w:ascii="Arial Narrow" w:hAnsi="Arial Narrow" w:cs="Arial"/>
        </w:rPr>
        <w:t xml:space="preserve"> obligations and is only backed by </w:t>
      </w:r>
      <w:r w:rsidR="00760DE2">
        <w:rPr>
          <w:rFonts w:ascii="Arial Narrow" w:hAnsi="Arial Narrow" w:cs="Arial"/>
        </w:rPr>
        <w:t xml:space="preserve">the </w:t>
      </w:r>
      <w:r w:rsidRPr="00BA3F72">
        <w:rPr>
          <w:rFonts w:ascii="Arial Narrow" w:hAnsi="Arial Narrow" w:cs="Arial"/>
        </w:rPr>
        <w:t>issuing bank</w:t>
      </w:r>
      <w:r w:rsidR="00760DE2">
        <w:rPr>
          <w:rFonts w:ascii="Arial Narrow" w:hAnsi="Arial Narrow" w:cs="Arial"/>
        </w:rPr>
        <w:t>’s</w:t>
      </w:r>
      <w:r w:rsidRPr="00BA3F72">
        <w:rPr>
          <w:rFonts w:ascii="Arial Narrow" w:hAnsi="Arial Narrow" w:cs="Arial"/>
        </w:rPr>
        <w:t xml:space="preserve"> or corporation's promise to pay the face amount on the maturity date specified on the note.</w:t>
      </w:r>
    </w:p>
    <w:p w14:paraId="466A0B32" w14:textId="77777777" w:rsidR="00434234" w:rsidRDefault="00434234" w:rsidP="00473A6E">
      <w:pPr>
        <w:ind w:left="480" w:hanging="480"/>
        <w:jc w:val="both"/>
        <w:rPr>
          <w:rFonts w:ascii="Arial Narrow" w:hAnsi="Arial Narrow"/>
        </w:rPr>
      </w:pPr>
    </w:p>
    <w:p w14:paraId="6D3C4F82" w14:textId="77777777" w:rsidR="002B43FA" w:rsidRDefault="002B43FA" w:rsidP="00B53489">
      <w:pPr>
        <w:jc w:val="both"/>
        <w:rPr>
          <w:rFonts w:ascii="Arial Narrow" w:hAnsi="Arial Narrow"/>
        </w:rPr>
      </w:pPr>
      <w:r w:rsidRPr="002B43FA">
        <w:rPr>
          <w:rFonts w:ascii="Arial Narrow" w:hAnsi="Arial Narrow"/>
          <w:b/>
        </w:rPr>
        <w:t>Debt mutual funds</w:t>
      </w:r>
      <w:r>
        <w:rPr>
          <w:rFonts w:ascii="Arial Narrow" w:hAnsi="Arial Narrow"/>
        </w:rPr>
        <w:t xml:space="preserve"> – </w:t>
      </w:r>
      <w:r w:rsidR="00B53489">
        <w:rPr>
          <w:rFonts w:ascii="Arial Narrow" w:hAnsi="Arial Narrow"/>
        </w:rPr>
        <w:t>T</w:t>
      </w:r>
      <w:r>
        <w:rPr>
          <w:rFonts w:ascii="Arial Narrow" w:hAnsi="Arial Narrow"/>
        </w:rPr>
        <w:t>hese are mutual funds that invest exclusive</w:t>
      </w:r>
      <w:r w:rsidR="00B53489">
        <w:rPr>
          <w:rFonts w:ascii="Arial Narrow" w:hAnsi="Arial Narrow"/>
        </w:rPr>
        <w:t>ly in fixed income securities issued by U.S. based companies, the U.S. government, and/or state and local governments.</w:t>
      </w:r>
    </w:p>
    <w:p w14:paraId="3DC31FF8" w14:textId="77777777" w:rsidR="002B43FA" w:rsidRDefault="002B43FA" w:rsidP="00473A6E">
      <w:pPr>
        <w:ind w:left="480" w:hanging="480"/>
        <w:jc w:val="both"/>
        <w:rPr>
          <w:rFonts w:ascii="Arial Narrow" w:hAnsi="Arial Narrow"/>
        </w:rPr>
      </w:pPr>
    </w:p>
    <w:p w14:paraId="01AE3CBF" w14:textId="77777777" w:rsidR="00BE0103" w:rsidRDefault="00BE0103" w:rsidP="00BE0103">
      <w:pPr>
        <w:jc w:val="both"/>
        <w:rPr>
          <w:rFonts w:ascii="Arial Narrow" w:hAnsi="Arial Narrow"/>
        </w:rPr>
      </w:pPr>
      <w:r w:rsidRPr="00BE0103">
        <w:rPr>
          <w:rFonts w:ascii="Arial Narrow" w:hAnsi="Arial Narrow"/>
          <w:b/>
        </w:rPr>
        <w:t xml:space="preserve">Domestic </w:t>
      </w:r>
      <w:r>
        <w:rPr>
          <w:rFonts w:ascii="Arial Narrow" w:hAnsi="Arial Narrow"/>
          <w:b/>
        </w:rPr>
        <w:t>corporate bonds</w:t>
      </w:r>
      <w:r w:rsidRPr="00BE0103">
        <w:rPr>
          <w:rFonts w:ascii="Arial Narrow" w:hAnsi="Arial Narrow"/>
          <w:b/>
        </w:rPr>
        <w:t xml:space="preserve"> </w:t>
      </w:r>
      <w:r>
        <w:rPr>
          <w:rFonts w:ascii="Arial Narrow" w:hAnsi="Arial Narrow"/>
        </w:rPr>
        <w:t xml:space="preserve">– These are investments in </w:t>
      </w:r>
      <w:r w:rsidR="002B43FA">
        <w:rPr>
          <w:rFonts w:ascii="Arial Narrow" w:hAnsi="Arial Narrow"/>
        </w:rPr>
        <w:t xml:space="preserve">bonds </w:t>
      </w:r>
      <w:r w:rsidR="00D313F4">
        <w:rPr>
          <w:rFonts w:ascii="Arial Narrow" w:hAnsi="Arial Narrow"/>
        </w:rPr>
        <w:t xml:space="preserve">issued by </w:t>
      </w:r>
      <w:r w:rsidR="002B43FA">
        <w:rPr>
          <w:rFonts w:ascii="Arial Narrow" w:hAnsi="Arial Narrow"/>
        </w:rPr>
        <w:t>U.S. based c</w:t>
      </w:r>
      <w:r w:rsidR="00353590">
        <w:rPr>
          <w:rFonts w:ascii="Arial Narrow" w:hAnsi="Arial Narrow"/>
        </w:rPr>
        <w:t>ompanies</w:t>
      </w:r>
      <w:r w:rsidR="002B43FA">
        <w:rPr>
          <w:rFonts w:ascii="Arial Narrow" w:hAnsi="Arial Narrow"/>
        </w:rPr>
        <w:t>.</w:t>
      </w:r>
    </w:p>
    <w:p w14:paraId="145D2216" w14:textId="77777777" w:rsidR="00BE0103" w:rsidRDefault="00BE0103" w:rsidP="00473A6E">
      <w:pPr>
        <w:ind w:left="480" w:hanging="480"/>
        <w:jc w:val="both"/>
        <w:rPr>
          <w:rFonts w:ascii="Arial Narrow" w:hAnsi="Arial Narrow"/>
        </w:rPr>
      </w:pPr>
    </w:p>
    <w:p w14:paraId="53F17066" w14:textId="77777777" w:rsidR="00BE0103" w:rsidRDefault="00BE0103" w:rsidP="00BE0103">
      <w:pPr>
        <w:jc w:val="both"/>
        <w:rPr>
          <w:rFonts w:ascii="Arial Narrow" w:hAnsi="Arial Narrow"/>
        </w:rPr>
      </w:pPr>
      <w:r w:rsidRPr="00BE0103">
        <w:rPr>
          <w:rFonts w:ascii="Arial Narrow" w:hAnsi="Arial Narrow"/>
          <w:b/>
        </w:rPr>
        <w:t>Domestic stocks (</w:t>
      </w:r>
      <w:r w:rsidR="002B43FA">
        <w:rPr>
          <w:rFonts w:ascii="Arial Narrow" w:hAnsi="Arial Narrow"/>
          <w:b/>
        </w:rPr>
        <w:t>c</w:t>
      </w:r>
      <w:r w:rsidRPr="00BE0103">
        <w:rPr>
          <w:rFonts w:ascii="Arial Narrow" w:hAnsi="Arial Narrow"/>
          <w:b/>
        </w:rPr>
        <w:t xml:space="preserve">ommon &amp; </w:t>
      </w:r>
      <w:r w:rsidR="002B43FA">
        <w:rPr>
          <w:rFonts w:ascii="Arial Narrow" w:hAnsi="Arial Narrow"/>
          <w:b/>
        </w:rPr>
        <w:t>p</w:t>
      </w:r>
      <w:r w:rsidRPr="00BE0103">
        <w:rPr>
          <w:rFonts w:ascii="Arial Narrow" w:hAnsi="Arial Narrow"/>
          <w:b/>
        </w:rPr>
        <w:t>referred)</w:t>
      </w:r>
      <w:r>
        <w:rPr>
          <w:rFonts w:ascii="Arial Narrow" w:hAnsi="Arial Narrow"/>
        </w:rPr>
        <w:t xml:space="preserve"> – These are investments in stocks of U.S. based </w:t>
      </w:r>
      <w:r w:rsidR="00353590">
        <w:rPr>
          <w:rFonts w:ascii="Arial Narrow" w:hAnsi="Arial Narrow"/>
        </w:rPr>
        <w:t>companies</w:t>
      </w:r>
      <w:r w:rsidR="00AC1D33">
        <w:rPr>
          <w:rFonts w:ascii="Arial Narrow" w:hAnsi="Arial Narrow"/>
        </w:rPr>
        <w:t>.</w:t>
      </w:r>
    </w:p>
    <w:p w14:paraId="7071D1B1" w14:textId="77777777" w:rsidR="00BE0103" w:rsidRDefault="00BE0103" w:rsidP="00473A6E">
      <w:pPr>
        <w:ind w:left="480" w:hanging="480"/>
        <w:jc w:val="both"/>
        <w:rPr>
          <w:rFonts w:ascii="Arial Narrow" w:hAnsi="Arial Narrow"/>
        </w:rPr>
      </w:pPr>
    </w:p>
    <w:p w14:paraId="59866EEE" w14:textId="77777777" w:rsidR="00470D6E" w:rsidRDefault="00470D6E" w:rsidP="00470D6E">
      <w:pPr>
        <w:jc w:val="both"/>
        <w:rPr>
          <w:rFonts w:ascii="Arial Narrow" w:hAnsi="Arial Narrow"/>
        </w:rPr>
      </w:pPr>
      <w:r w:rsidRPr="004A1347">
        <w:rPr>
          <w:rFonts w:ascii="Arial Narrow" w:hAnsi="Arial Narrow" w:cs="Arial"/>
          <w:b/>
          <w:color w:val="000000"/>
        </w:rPr>
        <w:t>Equity mutual funds</w:t>
      </w:r>
      <w:r w:rsidRPr="004A1347">
        <w:rPr>
          <w:rFonts w:ascii="Arial Narrow" w:hAnsi="Arial Narrow" w:cs="Arial"/>
          <w:color w:val="000000"/>
        </w:rPr>
        <w:t xml:space="preserve"> – </w:t>
      </w:r>
      <w:r w:rsidRPr="004A1347">
        <w:rPr>
          <w:rFonts w:ascii="Arial Narrow" w:hAnsi="Arial Narrow"/>
          <w:color w:val="000000"/>
        </w:rPr>
        <w:t xml:space="preserve">These are mutual funds </w:t>
      </w:r>
      <w:r>
        <w:rPr>
          <w:rFonts w:ascii="Arial Narrow" w:hAnsi="Arial Narrow"/>
          <w:color w:val="000000"/>
        </w:rPr>
        <w:t>that</w:t>
      </w:r>
      <w:r w:rsidRPr="004A1347">
        <w:rPr>
          <w:rFonts w:ascii="Arial Narrow" w:hAnsi="Arial Narrow"/>
          <w:color w:val="000000"/>
        </w:rPr>
        <w:t xml:space="preserve"> invest primarily in U.S. stocks, usually common stocks.</w:t>
      </w:r>
      <w:r w:rsidRPr="004A1347">
        <w:rPr>
          <w:rFonts w:ascii="Arial Narrow" w:hAnsi="Arial Narrow"/>
          <w:color w:val="000000"/>
        </w:rPr>
        <w:br/>
      </w:r>
    </w:p>
    <w:p w14:paraId="155A9594" w14:textId="77777777" w:rsidR="00021D9E" w:rsidRDefault="00021D9E" w:rsidP="00470D6E">
      <w:pPr>
        <w:jc w:val="both"/>
        <w:rPr>
          <w:rFonts w:ascii="Arial Narrow" w:hAnsi="Arial Narrow"/>
        </w:rPr>
      </w:pPr>
      <w:r w:rsidRPr="00021D9E">
        <w:rPr>
          <w:rFonts w:ascii="Arial Narrow" w:hAnsi="Arial Narrow"/>
          <w:b/>
        </w:rPr>
        <w:t>Foreign corporate bonds</w:t>
      </w:r>
      <w:r>
        <w:rPr>
          <w:rFonts w:ascii="Arial Narrow" w:hAnsi="Arial Narrow"/>
        </w:rPr>
        <w:t xml:space="preserve"> </w:t>
      </w:r>
      <w:r w:rsidR="00353590">
        <w:rPr>
          <w:rFonts w:ascii="Arial Narrow" w:hAnsi="Arial Narrow"/>
        </w:rPr>
        <w:t>–</w:t>
      </w:r>
      <w:r>
        <w:rPr>
          <w:rFonts w:ascii="Arial Narrow" w:hAnsi="Arial Narrow"/>
        </w:rPr>
        <w:t xml:space="preserve"> </w:t>
      </w:r>
      <w:r w:rsidR="009E2518">
        <w:rPr>
          <w:rFonts w:ascii="Arial Narrow" w:hAnsi="Arial Narrow"/>
        </w:rPr>
        <w:t>These are b</w:t>
      </w:r>
      <w:r w:rsidR="00353590">
        <w:rPr>
          <w:rFonts w:ascii="Arial Narrow" w:hAnsi="Arial Narrow"/>
        </w:rPr>
        <w:t xml:space="preserve">onds </w:t>
      </w:r>
      <w:r w:rsidR="00D313F4">
        <w:rPr>
          <w:rFonts w:ascii="Arial Narrow" w:hAnsi="Arial Narrow"/>
        </w:rPr>
        <w:t xml:space="preserve">issued by </w:t>
      </w:r>
      <w:r w:rsidR="00353590">
        <w:rPr>
          <w:rFonts w:ascii="Arial Narrow" w:hAnsi="Arial Narrow"/>
        </w:rPr>
        <w:t>non-U.S. companies</w:t>
      </w:r>
      <w:r w:rsidR="00EB5690">
        <w:rPr>
          <w:rFonts w:ascii="Arial Narrow" w:hAnsi="Arial Narrow"/>
        </w:rPr>
        <w:t>.</w:t>
      </w:r>
    </w:p>
    <w:p w14:paraId="4F28FE92" w14:textId="77777777" w:rsidR="00021D9E" w:rsidRDefault="00021D9E" w:rsidP="00470D6E">
      <w:pPr>
        <w:jc w:val="both"/>
        <w:rPr>
          <w:rFonts w:ascii="Arial Narrow" w:hAnsi="Arial Narrow"/>
        </w:rPr>
      </w:pPr>
    </w:p>
    <w:p w14:paraId="72BAFC88" w14:textId="77777777" w:rsidR="00021D9E" w:rsidRDefault="00021D9E" w:rsidP="00470D6E">
      <w:pPr>
        <w:jc w:val="both"/>
        <w:rPr>
          <w:rFonts w:ascii="Arial Narrow" w:hAnsi="Arial Narrow"/>
        </w:rPr>
      </w:pPr>
      <w:r w:rsidRPr="00021D9E">
        <w:rPr>
          <w:rFonts w:ascii="Arial Narrow" w:hAnsi="Arial Narrow"/>
          <w:b/>
        </w:rPr>
        <w:t>Foreign government bonds</w:t>
      </w:r>
      <w:r>
        <w:rPr>
          <w:rFonts w:ascii="Arial Narrow" w:hAnsi="Arial Narrow"/>
        </w:rPr>
        <w:t xml:space="preserve"> </w:t>
      </w:r>
      <w:r w:rsidR="00353590">
        <w:rPr>
          <w:rFonts w:ascii="Arial Narrow" w:hAnsi="Arial Narrow"/>
        </w:rPr>
        <w:t>–</w:t>
      </w:r>
      <w:r>
        <w:rPr>
          <w:rFonts w:ascii="Arial Narrow" w:hAnsi="Arial Narrow"/>
        </w:rPr>
        <w:t xml:space="preserve"> </w:t>
      </w:r>
      <w:r w:rsidR="009E2518">
        <w:rPr>
          <w:rFonts w:ascii="Arial Narrow" w:hAnsi="Arial Narrow"/>
        </w:rPr>
        <w:t>These are b</w:t>
      </w:r>
      <w:r w:rsidR="00353590">
        <w:rPr>
          <w:rFonts w:ascii="Arial Narrow" w:hAnsi="Arial Narrow"/>
        </w:rPr>
        <w:t xml:space="preserve">onds issued by non-U.S. governments. </w:t>
      </w:r>
    </w:p>
    <w:p w14:paraId="0A76D0EA" w14:textId="77777777" w:rsidR="00021D9E" w:rsidRDefault="00021D9E" w:rsidP="00470D6E">
      <w:pPr>
        <w:jc w:val="both"/>
        <w:rPr>
          <w:rFonts w:ascii="Arial Narrow" w:hAnsi="Arial Narrow"/>
        </w:rPr>
      </w:pPr>
    </w:p>
    <w:p w14:paraId="0B395CE1" w14:textId="77777777" w:rsidR="00021D9E" w:rsidRDefault="00021D9E" w:rsidP="00470D6E">
      <w:pPr>
        <w:jc w:val="both"/>
        <w:rPr>
          <w:rFonts w:ascii="Arial Narrow" w:hAnsi="Arial Narrow"/>
        </w:rPr>
      </w:pPr>
      <w:r w:rsidRPr="00021D9E">
        <w:rPr>
          <w:rFonts w:ascii="Arial Narrow" w:hAnsi="Arial Narrow"/>
          <w:b/>
        </w:rPr>
        <w:t>Foreign stocks</w:t>
      </w:r>
      <w:r>
        <w:rPr>
          <w:rFonts w:ascii="Arial Narrow" w:hAnsi="Arial Narrow"/>
        </w:rPr>
        <w:t xml:space="preserve"> </w:t>
      </w:r>
      <w:r w:rsidR="00AC1D33">
        <w:rPr>
          <w:rFonts w:ascii="Arial Narrow" w:hAnsi="Arial Narrow"/>
        </w:rPr>
        <w:t>–</w:t>
      </w:r>
      <w:r>
        <w:rPr>
          <w:rFonts w:ascii="Arial Narrow" w:hAnsi="Arial Narrow"/>
        </w:rPr>
        <w:t xml:space="preserve"> </w:t>
      </w:r>
      <w:r w:rsidR="00AC1D33">
        <w:rPr>
          <w:rFonts w:ascii="Arial Narrow" w:hAnsi="Arial Narrow"/>
        </w:rPr>
        <w:t>These are investments in stocks of non</w:t>
      </w:r>
      <w:r w:rsidR="00291D0D">
        <w:rPr>
          <w:rFonts w:ascii="Arial Narrow" w:hAnsi="Arial Narrow"/>
        </w:rPr>
        <w:t>-</w:t>
      </w:r>
      <w:r w:rsidR="00AC1D33">
        <w:rPr>
          <w:rFonts w:ascii="Arial Narrow" w:hAnsi="Arial Narrow"/>
        </w:rPr>
        <w:t>U.S. based companies.</w:t>
      </w:r>
    </w:p>
    <w:p w14:paraId="32ACDC3C" w14:textId="77777777" w:rsidR="00021D9E" w:rsidRDefault="00021D9E" w:rsidP="00470D6E">
      <w:pPr>
        <w:jc w:val="both"/>
        <w:rPr>
          <w:rFonts w:ascii="Arial Narrow" w:hAnsi="Arial Narrow"/>
        </w:rPr>
      </w:pPr>
    </w:p>
    <w:p w14:paraId="2C89C1FD" w14:textId="77777777" w:rsidR="00470D6E" w:rsidRPr="00E25C7B" w:rsidRDefault="00470D6E" w:rsidP="00470D6E">
      <w:pPr>
        <w:jc w:val="both"/>
        <w:rPr>
          <w:rFonts w:ascii="Arial Narrow" w:hAnsi="Arial Narrow"/>
        </w:rPr>
      </w:pPr>
      <w:r w:rsidRPr="00E25C7B">
        <w:rPr>
          <w:rFonts w:ascii="Arial Narrow" w:hAnsi="Arial Narrow"/>
          <w:b/>
        </w:rPr>
        <w:t>Hedge funds</w:t>
      </w:r>
      <w:r>
        <w:rPr>
          <w:rFonts w:ascii="Arial Narrow" w:hAnsi="Arial Narrow"/>
          <w:b/>
        </w:rPr>
        <w:t xml:space="preserve"> </w:t>
      </w:r>
      <w:r w:rsidRPr="008F23FE">
        <w:rPr>
          <w:rFonts w:ascii="Arial Narrow" w:hAnsi="Arial Narrow"/>
        </w:rPr>
        <w:t>–</w:t>
      </w:r>
      <w:r>
        <w:rPr>
          <w:rFonts w:ascii="Arial Narrow" w:hAnsi="Arial Narrow"/>
          <w:b/>
        </w:rPr>
        <w:t xml:space="preserve"> </w:t>
      </w:r>
      <w:r w:rsidRPr="00E25C7B">
        <w:rPr>
          <w:rFonts w:ascii="Arial Narrow" w:hAnsi="Arial Narrow" w:cs="Arial"/>
        </w:rPr>
        <w:t>Hedge funds are actively managed funds that tend to employ much more aggressive investing strategies than traditional mutual funds. These strategies often include short selling, options and the use of leverage. By law, hedge funds are private entities that are not required to disclose most items to the public.  As a result, hedge funds are subject to very few regulatory restrictions</w:t>
      </w:r>
      <w:r>
        <w:rPr>
          <w:rFonts w:ascii="Arial" w:hAnsi="Arial" w:cs="Arial"/>
        </w:rPr>
        <w:t>.</w:t>
      </w:r>
    </w:p>
    <w:p w14:paraId="3BE3D8BC" w14:textId="77777777" w:rsidR="00470D6E" w:rsidRDefault="00470D6E" w:rsidP="00470D6E">
      <w:pPr>
        <w:jc w:val="both"/>
        <w:rPr>
          <w:rFonts w:ascii="Arial Narrow" w:hAnsi="Arial Narrow"/>
        </w:rPr>
      </w:pPr>
    </w:p>
    <w:p w14:paraId="2EFE6543" w14:textId="77777777" w:rsidR="00470D6E" w:rsidRDefault="00470D6E" w:rsidP="00470D6E">
      <w:pPr>
        <w:jc w:val="both"/>
        <w:rPr>
          <w:rFonts w:ascii="Arial Narrow" w:hAnsi="Arial Narrow" w:cs="Arial"/>
          <w:color w:val="000000"/>
        </w:rPr>
      </w:pPr>
      <w:r w:rsidRPr="004A1347">
        <w:rPr>
          <w:rFonts w:ascii="Arial Narrow" w:hAnsi="Arial Narrow" w:cs="Arial"/>
          <w:b/>
          <w:color w:val="000000"/>
        </w:rPr>
        <w:t>International mutual funds</w:t>
      </w:r>
      <w:r w:rsidRPr="004A1347">
        <w:rPr>
          <w:rFonts w:ascii="Arial Narrow" w:hAnsi="Arial Narrow" w:cs="Arial"/>
          <w:color w:val="000000"/>
        </w:rPr>
        <w:t xml:space="preserve"> – These are mutual funds that invest predominantly or exclusively in stocks</w:t>
      </w:r>
      <w:r>
        <w:rPr>
          <w:rFonts w:ascii="Arial Narrow" w:hAnsi="Arial Narrow" w:cs="Arial"/>
          <w:color w:val="000000"/>
        </w:rPr>
        <w:t xml:space="preserve"> issued in foreign countries or stocks and bonds issued in foreign countries.  </w:t>
      </w:r>
    </w:p>
    <w:p w14:paraId="707F8152" w14:textId="77777777" w:rsidR="000B55AF" w:rsidRDefault="000B55AF" w:rsidP="00470D6E">
      <w:pPr>
        <w:jc w:val="both"/>
        <w:rPr>
          <w:rFonts w:ascii="Arial Narrow" w:hAnsi="Arial Narrow" w:cs="Arial"/>
          <w:color w:val="000000"/>
        </w:rPr>
      </w:pPr>
    </w:p>
    <w:p w14:paraId="669119A7" w14:textId="77777777" w:rsidR="000B55AF" w:rsidRDefault="000B55AF" w:rsidP="00470D6E">
      <w:pPr>
        <w:jc w:val="both"/>
        <w:rPr>
          <w:rFonts w:ascii="Arial Narrow" w:hAnsi="Arial Narrow" w:cs="Arial"/>
          <w:color w:val="000000"/>
        </w:rPr>
      </w:pPr>
      <w:r>
        <w:rPr>
          <w:rFonts w:ascii="Arial Narrow" w:hAnsi="Arial Narrow"/>
          <w:b/>
        </w:rPr>
        <w:t>I</w:t>
      </w:r>
      <w:r w:rsidRPr="00473A6E">
        <w:rPr>
          <w:rFonts w:ascii="Arial Narrow" w:hAnsi="Arial Narrow"/>
          <w:b/>
        </w:rPr>
        <w:t>nve</w:t>
      </w:r>
      <w:r>
        <w:rPr>
          <w:rFonts w:ascii="Arial Narrow" w:hAnsi="Arial Narrow"/>
          <w:b/>
        </w:rPr>
        <w:t xml:space="preserve">stment agreements </w:t>
      </w:r>
      <w:r w:rsidRPr="008F23FE">
        <w:rPr>
          <w:rFonts w:ascii="Arial Narrow" w:hAnsi="Arial Narrow"/>
        </w:rPr>
        <w:t>–</w:t>
      </w:r>
      <w:r>
        <w:rPr>
          <w:rFonts w:ascii="Arial Narrow" w:hAnsi="Arial Narrow"/>
          <w:b/>
        </w:rPr>
        <w:t xml:space="preserve"> </w:t>
      </w:r>
      <w:r w:rsidRPr="00E25C7B">
        <w:rPr>
          <w:rFonts w:ascii="Arial Narrow" w:hAnsi="Arial Narrow" w:cs="Arial"/>
        </w:rPr>
        <w:t>These are general obligation instruments issued by insurance companies or other companies that are not financial institutions that provide for a guaranteed return on principal over a specified period.</w:t>
      </w:r>
    </w:p>
    <w:p w14:paraId="6792070A" w14:textId="77777777" w:rsidR="000B55AF" w:rsidRDefault="000B55AF" w:rsidP="00470D6E">
      <w:pPr>
        <w:jc w:val="both"/>
        <w:rPr>
          <w:rFonts w:ascii="Arial Narrow" w:hAnsi="Arial Narrow" w:cs="Arial"/>
          <w:color w:val="000000"/>
        </w:rPr>
      </w:pPr>
    </w:p>
    <w:p w14:paraId="6824EFA2" w14:textId="77777777" w:rsidR="000B55AF" w:rsidRPr="000B55AF" w:rsidRDefault="000B55AF" w:rsidP="000B55AF">
      <w:pPr>
        <w:jc w:val="both"/>
        <w:rPr>
          <w:rFonts w:ascii="Arial Narrow" w:hAnsi="Arial Narrow" w:cs="Arial"/>
        </w:rPr>
      </w:pPr>
      <w:r w:rsidRPr="000B55AF">
        <w:rPr>
          <w:rFonts w:ascii="Arial Narrow" w:hAnsi="Arial Narrow" w:cs="Arial"/>
          <w:b/>
        </w:rPr>
        <w:t>Investments in real estate</w:t>
      </w:r>
      <w:r w:rsidRPr="000B55AF">
        <w:rPr>
          <w:rFonts w:ascii="Arial Narrow" w:hAnsi="Arial Narrow" w:cs="Arial"/>
        </w:rPr>
        <w:t xml:space="preserve"> - </w:t>
      </w:r>
      <w:r>
        <w:rPr>
          <w:rFonts w:ascii="Arial Narrow" w:hAnsi="Arial Narrow" w:cs="Arial"/>
        </w:rPr>
        <w:t>L</w:t>
      </w:r>
      <w:r w:rsidRPr="000B55AF">
        <w:rPr>
          <w:rFonts w:ascii="Arial Narrow" w:hAnsi="Arial Narrow" w:cs="Arial"/>
        </w:rPr>
        <w:t>and and all physical property related to it that is owned by state agencies and universities for investment purposes (e.g., endowment fund properties).</w:t>
      </w:r>
    </w:p>
    <w:p w14:paraId="6C0A145B" w14:textId="77777777" w:rsidR="00470D6E" w:rsidRDefault="00470D6E" w:rsidP="00470D6E">
      <w:pPr>
        <w:jc w:val="both"/>
        <w:rPr>
          <w:rFonts w:ascii="Arial Narrow" w:hAnsi="Arial Narrow"/>
        </w:rPr>
      </w:pPr>
    </w:p>
    <w:p w14:paraId="59BBE696" w14:textId="77777777" w:rsidR="00470D6E" w:rsidRDefault="00470D6E" w:rsidP="00470D6E">
      <w:pPr>
        <w:jc w:val="both"/>
        <w:rPr>
          <w:rFonts w:ascii="Arial Narrow" w:hAnsi="Arial Narrow" w:cs="Arial"/>
          <w:color w:val="000000"/>
        </w:rPr>
      </w:pPr>
      <w:r w:rsidRPr="00FA0B20">
        <w:rPr>
          <w:rFonts w:ascii="Arial Narrow" w:hAnsi="Arial Narrow" w:cs="Arial"/>
          <w:b/>
        </w:rPr>
        <w:t>Money market mutual funds</w:t>
      </w:r>
      <w:r w:rsidRPr="00FA0B20">
        <w:rPr>
          <w:rFonts w:ascii="Arial Narrow" w:hAnsi="Arial Narrow" w:cs="Arial"/>
        </w:rPr>
        <w:t xml:space="preserve"> – These are mutual funds that invest </w:t>
      </w:r>
      <w:r w:rsidRPr="00FA0B20">
        <w:rPr>
          <w:rFonts w:ascii="Arial Narrow" w:hAnsi="Arial Narrow" w:cs="Arial"/>
          <w:color w:val="000000"/>
        </w:rPr>
        <w:t>exclusively in short-term, low-risk</w:t>
      </w:r>
      <w:r>
        <w:rPr>
          <w:rFonts w:ascii="Arial Narrow" w:hAnsi="Arial Narrow" w:cs="Arial"/>
          <w:color w:val="000000"/>
        </w:rPr>
        <w:t>,</w:t>
      </w:r>
      <w:r w:rsidRPr="00FA0B20">
        <w:rPr>
          <w:rFonts w:ascii="Arial Narrow" w:hAnsi="Arial Narrow" w:cs="Arial"/>
          <w:color w:val="000000"/>
        </w:rPr>
        <w:t xml:space="preserve"> </w:t>
      </w:r>
      <w:r>
        <w:rPr>
          <w:rFonts w:ascii="Arial Narrow" w:hAnsi="Arial Narrow" w:cs="Arial"/>
          <w:color w:val="000000"/>
        </w:rPr>
        <w:t xml:space="preserve">fixed income </w:t>
      </w:r>
      <w:r w:rsidRPr="00FA0B20">
        <w:rPr>
          <w:rFonts w:ascii="Arial Narrow" w:hAnsi="Arial Narrow" w:cs="Arial"/>
          <w:color w:val="000000"/>
        </w:rPr>
        <w:t xml:space="preserve">securities. Money market funds attempt to keep their net asset values at $1 per share, such that only the yield changes. </w:t>
      </w:r>
      <w:r w:rsidRPr="00FA0B20">
        <w:rPr>
          <w:rFonts w:ascii="Arial Narrow" w:hAnsi="Arial Narrow" w:cs="Arial"/>
          <w:color w:val="333333"/>
        </w:rPr>
        <w:t xml:space="preserve">Money market funds are regulated by </w:t>
      </w:r>
      <w:proofErr w:type="gramStart"/>
      <w:r w:rsidRPr="00FA0B20">
        <w:rPr>
          <w:rFonts w:ascii="Arial Narrow" w:hAnsi="Arial Narrow" w:cs="Arial"/>
          <w:color w:val="333333"/>
        </w:rPr>
        <w:t>Securities</w:t>
      </w:r>
      <w:proofErr w:type="gramEnd"/>
      <w:r w:rsidRPr="00FA0B20">
        <w:rPr>
          <w:rFonts w:ascii="Arial Narrow" w:hAnsi="Arial Narrow" w:cs="Arial"/>
          <w:color w:val="333333"/>
        </w:rPr>
        <w:t xml:space="preserve"> and Exchange Commission's (SEC) Investment Company Act of 1940, Rule 2a-7. </w:t>
      </w:r>
      <w:r w:rsidRPr="00FA0B20">
        <w:rPr>
          <w:rFonts w:ascii="Arial Narrow" w:hAnsi="Arial Narrow" w:cs="Arial"/>
          <w:color w:val="000000"/>
        </w:rPr>
        <w:t xml:space="preserve">Money market </w:t>
      </w:r>
      <w:r>
        <w:rPr>
          <w:rFonts w:ascii="Arial Narrow" w:hAnsi="Arial Narrow" w:cs="Arial"/>
          <w:color w:val="000000"/>
        </w:rPr>
        <w:t xml:space="preserve">mutual </w:t>
      </w:r>
      <w:r w:rsidRPr="00FA0B20">
        <w:rPr>
          <w:rFonts w:ascii="Arial Narrow" w:hAnsi="Arial Narrow" w:cs="Arial"/>
          <w:color w:val="000000"/>
        </w:rPr>
        <w:t xml:space="preserve">funds are not federally insured. </w:t>
      </w:r>
    </w:p>
    <w:p w14:paraId="1889E854" w14:textId="77777777" w:rsidR="00470D6E" w:rsidRPr="00473A6E" w:rsidRDefault="00470D6E" w:rsidP="00470D6E">
      <w:pPr>
        <w:jc w:val="both"/>
        <w:rPr>
          <w:rFonts w:ascii="Arial Narrow" w:hAnsi="Arial Narrow"/>
        </w:rPr>
      </w:pPr>
    </w:p>
    <w:p w14:paraId="7DA29E34" w14:textId="77777777" w:rsidR="00470D6E" w:rsidRPr="00473A6E" w:rsidRDefault="00470D6E" w:rsidP="00470D6E">
      <w:pPr>
        <w:jc w:val="both"/>
        <w:rPr>
          <w:rFonts w:ascii="Arial Narrow" w:hAnsi="Arial Narrow" w:cs="Arial"/>
        </w:rPr>
      </w:pPr>
      <w:r w:rsidRPr="00473A6E">
        <w:rPr>
          <w:rFonts w:ascii="Arial Narrow" w:hAnsi="Arial Narrow" w:cs="Arial"/>
          <w:b/>
        </w:rPr>
        <w:t xml:space="preserve">Mortgage </w:t>
      </w:r>
      <w:r w:rsidR="0019158B">
        <w:rPr>
          <w:rFonts w:ascii="Arial Narrow" w:hAnsi="Arial Narrow" w:cs="Arial"/>
          <w:b/>
        </w:rPr>
        <w:t>p</w:t>
      </w:r>
      <w:r w:rsidRPr="00473A6E">
        <w:rPr>
          <w:rFonts w:ascii="Arial Narrow" w:hAnsi="Arial Narrow" w:cs="Arial"/>
          <w:b/>
        </w:rPr>
        <w:t xml:space="preserve">ass </w:t>
      </w:r>
      <w:r w:rsidR="0019158B">
        <w:rPr>
          <w:rFonts w:ascii="Arial Narrow" w:hAnsi="Arial Narrow" w:cs="Arial"/>
          <w:b/>
        </w:rPr>
        <w:t>t</w:t>
      </w:r>
      <w:r w:rsidRPr="00473A6E">
        <w:rPr>
          <w:rFonts w:ascii="Arial Narrow" w:hAnsi="Arial Narrow" w:cs="Arial"/>
          <w:b/>
        </w:rPr>
        <w:t>hroughs</w:t>
      </w:r>
      <w:r w:rsidRPr="00473A6E">
        <w:rPr>
          <w:rFonts w:ascii="Arial Narrow" w:hAnsi="Arial Narrow" w:cs="Arial"/>
        </w:rPr>
        <w:t xml:space="preserve"> – These securities are created from pooling mortgage loans and are commonly referred to as mortgage-backed securities or participation certificates.  Investors in such securities have a direct ownership interest in the pool of mortgage loans. </w:t>
      </w:r>
      <w:proofErr w:type="gramStart"/>
      <w:r w:rsidRPr="00473A6E">
        <w:rPr>
          <w:rFonts w:ascii="Arial Narrow" w:hAnsi="Arial Narrow" w:cs="Arial"/>
        </w:rPr>
        <w:t>The majority of</w:t>
      </w:r>
      <w:proofErr w:type="gramEnd"/>
      <w:r w:rsidRPr="00473A6E">
        <w:rPr>
          <w:rFonts w:ascii="Arial Narrow" w:hAnsi="Arial Narrow" w:cs="Arial"/>
        </w:rPr>
        <w:t xml:space="preserve"> mortgage securities are issued and/or guaranteed by an agency of the </w:t>
      </w:r>
      <w:smartTag w:uri="urn:schemas-microsoft-com:office:smarttags" w:element="place">
        <w:smartTag w:uri="urn:schemas-microsoft-com:office:smarttags" w:element="country-region">
          <w:r w:rsidRPr="00473A6E">
            <w:rPr>
              <w:rFonts w:ascii="Arial Narrow" w:hAnsi="Arial Narrow" w:cs="Arial"/>
            </w:rPr>
            <w:t>U.S.</w:t>
          </w:r>
        </w:smartTag>
      </w:smartTag>
      <w:r w:rsidRPr="00473A6E">
        <w:rPr>
          <w:rFonts w:ascii="Arial Narrow" w:hAnsi="Arial Narrow" w:cs="Arial"/>
        </w:rPr>
        <w:t xml:space="preserve"> government, the Government National Mortgage Association (Ginnie Mae), or by government-sponsored enterprises (GSEs) such as the Federal National Mortgage Association (Fannie Mae) and the Federal Home Loan Mortgage Corporation (Freddie Mac).</w:t>
      </w:r>
    </w:p>
    <w:p w14:paraId="629C19DD" w14:textId="77777777" w:rsidR="00470D6E" w:rsidRDefault="00470D6E" w:rsidP="00470D6E">
      <w:pPr>
        <w:jc w:val="both"/>
        <w:rPr>
          <w:rFonts w:ascii="Arial Narrow" w:hAnsi="Arial Narrow"/>
        </w:rPr>
      </w:pPr>
    </w:p>
    <w:p w14:paraId="19991F8F" w14:textId="77777777" w:rsidR="00E206B2" w:rsidRDefault="00E206B2" w:rsidP="00470D6E">
      <w:pPr>
        <w:jc w:val="both"/>
        <w:rPr>
          <w:rFonts w:ascii="Arial Narrow" w:hAnsi="Arial Narrow"/>
        </w:rPr>
      </w:pPr>
      <w:r w:rsidRPr="00E206B2">
        <w:rPr>
          <w:rFonts w:ascii="Arial Narrow" w:hAnsi="Arial Narrow"/>
          <w:b/>
        </w:rPr>
        <w:t>Negotiable certificates of deposit</w:t>
      </w:r>
      <w:r>
        <w:rPr>
          <w:rFonts w:ascii="Arial Narrow" w:hAnsi="Arial Narrow"/>
        </w:rPr>
        <w:t xml:space="preserve"> – </w:t>
      </w:r>
      <w:r w:rsidRPr="00E206B2">
        <w:rPr>
          <w:rFonts w:ascii="Arial Narrow" w:hAnsi="Arial Narrow"/>
        </w:rPr>
        <w:t>Negotiable CDs are securities that normally are sold in $1 million units and that can be traded in a secondary market—and should be treated as investments for purposes of Statement 3 and 40 disclosures.</w:t>
      </w:r>
    </w:p>
    <w:p w14:paraId="225C767C" w14:textId="77777777" w:rsidR="00E206B2" w:rsidRDefault="00E206B2" w:rsidP="00470D6E">
      <w:pPr>
        <w:jc w:val="both"/>
        <w:rPr>
          <w:rFonts w:ascii="Arial Narrow" w:hAnsi="Arial Narrow"/>
        </w:rPr>
      </w:pPr>
    </w:p>
    <w:p w14:paraId="503A3C1A" w14:textId="77777777" w:rsidR="00470D6E" w:rsidRDefault="00470D6E" w:rsidP="00470D6E">
      <w:pPr>
        <w:spacing w:line="270" w:lineRule="atLeast"/>
        <w:rPr>
          <w:rFonts w:ascii="Arial Narrow" w:hAnsi="Arial Narrow"/>
          <w:color w:val="000000"/>
        </w:rPr>
      </w:pPr>
      <w:r w:rsidRPr="00DA447C">
        <w:rPr>
          <w:rFonts w:ascii="Arial Narrow" w:hAnsi="Arial Narrow"/>
          <w:b/>
          <w:color w:val="000000"/>
        </w:rPr>
        <w:t>Pooled debt funds</w:t>
      </w:r>
      <w:r>
        <w:rPr>
          <w:rFonts w:ascii="Arial Narrow" w:hAnsi="Arial Narrow"/>
          <w:color w:val="000000"/>
        </w:rPr>
        <w:t xml:space="preserve"> – These are pooled investment funds (not mutual funds) that invest exclusively in fixed income securities.</w:t>
      </w:r>
    </w:p>
    <w:p w14:paraId="65208F1B" w14:textId="77777777" w:rsidR="00470D6E" w:rsidRDefault="00470D6E" w:rsidP="00470D6E">
      <w:pPr>
        <w:jc w:val="both"/>
        <w:rPr>
          <w:rFonts w:ascii="Arial Narrow" w:hAnsi="Arial Narrow"/>
        </w:rPr>
      </w:pPr>
    </w:p>
    <w:p w14:paraId="2D1EDA99" w14:textId="1223AC5E" w:rsidR="00FB7B39" w:rsidRDefault="00FB7B39" w:rsidP="00FB7B39">
      <w:pPr>
        <w:jc w:val="both"/>
        <w:rPr>
          <w:rFonts w:ascii="Arial Narrow" w:hAnsi="Arial Narrow"/>
        </w:rPr>
      </w:pPr>
      <w:r w:rsidRPr="0085245D">
        <w:rPr>
          <w:rFonts w:ascii="Arial Narrow" w:hAnsi="Arial Narrow"/>
          <w:b/>
        </w:rPr>
        <w:t xml:space="preserve">Private </w:t>
      </w:r>
      <w:r w:rsidR="0019158B">
        <w:rPr>
          <w:rFonts w:ascii="Arial Narrow" w:hAnsi="Arial Narrow"/>
          <w:b/>
        </w:rPr>
        <w:t>e</w:t>
      </w:r>
      <w:r w:rsidRPr="0085245D">
        <w:rPr>
          <w:rFonts w:ascii="Arial Narrow" w:hAnsi="Arial Narrow"/>
          <w:b/>
        </w:rPr>
        <w:t xml:space="preserve">quity </w:t>
      </w:r>
      <w:r w:rsidR="0019158B">
        <w:rPr>
          <w:rFonts w:ascii="Arial Narrow" w:hAnsi="Arial Narrow"/>
          <w:b/>
        </w:rPr>
        <w:t>l</w:t>
      </w:r>
      <w:r w:rsidRPr="0085245D">
        <w:rPr>
          <w:rFonts w:ascii="Arial Narrow" w:hAnsi="Arial Narrow"/>
          <w:b/>
        </w:rPr>
        <w:t xml:space="preserve">imited </w:t>
      </w:r>
      <w:r w:rsidR="0019158B">
        <w:rPr>
          <w:rFonts w:ascii="Arial Narrow" w:hAnsi="Arial Narrow"/>
          <w:b/>
        </w:rPr>
        <w:t>p</w:t>
      </w:r>
      <w:r w:rsidRPr="0085245D">
        <w:rPr>
          <w:rFonts w:ascii="Arial Narrow" w:hAnsi="Arial Narrow"/>
          <w:b/>
        </w:rPr>
        <w:t>artnerships</w:t>
      </w:r>
      <w:r w:rsidRPr="0085245D">
        <w:rPr>
          <w:rFonts w:ascii="Arial Narrow" w:hAnsi="Arial Narrow"/>
        </w:rPr>
        <w:t xml:space="preserve"> - Private pools of capital structured in a limited partnership investing in securities of non-publicly traded companies. Common strategies include leveraged buyouts, venture capital, distressed investments, and mezzanine capital.  </w:t>
      </w:r>
      <w:proofErr w:type="gramStart"/>
      <w:r w:rsidRPr="0085245D">
        <w:rPr>
          <w:rFonts w:ascii="Arial Narrow" w:hAnsi="Arial Narrow"/>
        </w:rPr>
        <w:t>Can</w:t>
      </w:r>
      <w:proofErr w:type="gramEnd"/>
      <w:r w:rsidRPr="0085245D">
        <w:rPr>
          <w:rFonts w:ascii="Arial Narrow" w:hAnsi="Arial Narrow"/>
        </w:rPr>
        <w:t xml:space="preserve"> consist of hedge funds that invest in private equity companies’ acquisition funds and require some </w:t>
      </w:r>
      <w:r w:rsidR="00572085" w:rsidRPr="0085245D">
        <w:rPr>
          <w:rFonts w:ascii="Arial Narrow" w:hAnsi="Arial Narrow"/>
        </w:rPr>
        <w:t>months</w:t>
      </w:r>
      <w:r w:rsidR="00572085">
        <w:rPr>
          <w:rFonts w:ascii="Arial Narrow" w:hAnsi="Arial Narrow"/>
        </w:rPr>
        <w:t>’</w:t>
      </w:r>
      <w:r w:rsidR="00385637">
        <w:rPr>
          <w:rFonts w:ascii="Arial Narrow" w:hAnsi="Arial Narrow"/>
        </w:rPr>
        <w:t xml:space="preserve"> </w:t>
      </w:r>
      <w:r w:rsidRPr="0085245D">
        <w:rPr>
          <w:rFonts w:ascii="Arial Narrow" w:hAnsi="Arial Narrow"/>
        </w:rPr>
        <w:t>notice to exit.  Valuation is a quarterly capital account statement, not a monthly net asset valuation (NAV).</w:t>
      </w:r>
    </w:p>
    <w:p w14:paraId="13B4E69E" w14:textId="77777777" w:rsidR="00FB7B39" w:rsidRPr="0085245D" w:rsidRDefault="00FB7B39" w:rsidP="00FB7B39">
      <w:pPr>
        <w:jc w:val="both"/>
        <w:rPr>
          <w:rFonts w:ascii="Arial Narrow" w:hAnsi="Arial Narrow"/>
        </w:rPr>
      </w:pPr>
    </w:p>
    <w:p w14:paraId="1DFFF65F" w14:textId="77777777" w:rsidR="00FB7B39" w:rsidRDefault="00FB7B39" w:rsidP="00FB7B39">
      <w:pPr>
        <w:jc w:val="both"/>
        <w:rPr>
          <w:rFonts w:ascii="Arial Narrow" w:hAnsi="Arial Narrow"/>
        </w:rPr>
      </w:pPr>
      <w:r w:rsidRPr="0085245D">
        <w:rPr>
          <w:rFonts w:ascii="Arial Narrow" w:hAnsi="Arial Narrow"/>
          <w:b/>
        </w:rPr>
        <w:t xml:space="preserve">Real </w:t>
      </w:r>
      <w:proofErr w:type="gramStart"/>
      <w:r w:rsidR="0019158B">
        <w:rPr>
          <w:rFonts w:ascii="Arial Narrow" w:hAnsi="Arial Narrow"/>
          <w:b/>
        </w:rPr>
        <w:t>a</w:t>
      </w:r>
      <w:r w:rsidRPr="0085245D">
        <w:rPr>
          <w:rFonts w:ascii="Arial Narrow" w:hAnsi="Arial Narrow"/>
          <w:b/>
        </w:rPr>
        <w:t>ssets</w:t>
      </w:r>
      <w:proofErr w:type="gramEnd"/>
      <w:r w:rsidRPr="0085245D">
        <w:rPr>
          <w:rFonts w:ascii="Arial Narrow" w:hAnsi="Arial Narrow"/>
          <w:b/>
        </w:rPr>
        <w:t xml:space="preserve"> </w:t>
      </w:r>
      <w:r w:rsidR="0019158B">
        <w:rPr>
          <w:rFonts w:ascii="Arial Narrow" w:hAnsi="Arial Narrow"/>
          <w:b/>
        </w:rPr>
        <w:t>l</w:t>
      </w:r>
      <w:r w:rsidRPr="0085245D">
        <w:rPr>
          <w:rFonts w:ascii="Arial Narrow" w:hAnsi="Arial Narrow"/>
          <w:b/>
        </w:rPr>
        <w:t xml:space="preserve">imited </w:t>
      </w:r>
      <w:r w:rsidR="0019158B">
        <w:rPr>
          <w:rFonts w:ascii="Arial Narrow" w:hAnsi="Arial Narrow"/>
          <w:b/>
        </w:rPr>
        <w:t>p</w:t>
      </w:r>
      <w:r w:rsidRPr="0085245D">
        <w:rPr>
          <w:rFonts w:ascii="Arial Narrow" w:hAnsi="Arial Narrow"/>
          <w:b/>
        </w:rPr>
        <w:t>artnerships</w:t>
      </w:r>
      <w:r w:rsidRPr="0085245D">
        <w:rPr>
          <w:rFonts w:ascii="Arial Narrow" w:hAnsi="Arial Narrow"/>
        </w:rPr>
        <w:t xml:space="preserve"> - Private pools of capital structured in a limited partnership investing in real assets.  Real assets consist of real estate, energy and natural resources.  Valuation is a quarterly capital account statement, not a monthly net asset valuation (NAV).</w:t>
      </w:r>
    </w:p>
    <w:p w14:paraId="7F9B4C1C" w14:textId="77777777" w:rsidR="00A01C46" w:rsidRDefault="00A01C46" w:rsidP="00FB7B39">
      <w:pPr>
        <w:jc w:val="both"/>
        <w:rPr>
          <w:rFonts w:ascii="Arial Narrow" w:hAnsi="Arial Narrow"/>
        </w:rPr>
      </w:pPr>
    </w:p>
    <w:p w14:paraId="03C3D7D2" w14:textId="77777777" w:rsidR="000B55AF" w:rsidRDefault="000B55AF" w:rsidP="00FB7B39">
      <w:pPr>
        <w:jc w:val="both"/>
        <w:rPr>
          <w:rFonts w:ascii="Arial Narrow" w:hAnsi="Arial Narrow"/>
        </w:rPr>
      </w:pPr>
      <w:r w:rsidRPr="000B55AF">
        <w:rPr>
          <w:rFonts w:ascii="Arial Narrow" w:hAnsi="Arial Narrow"/>
          <w:b/>
        </w:rPr>
        <w:t>Real estate investment trust</w:t>
      </w:r>
      <w:r>
        <w:rPr>
          <w:rFonts w:ascii="Arial Narrow" w:hAnsi="Arial Narrow"/>
        </w:rPr>
        <w:t xml:space="preserve"> –</w:t>
      </w:r>
      <w:r w:rsidRPr="000B55AF">
        <w:rPr>
          <w:rFonts w:ascii="Arial Narrow" w:hAnsi="Arial Narrow"/>
        </w:rPr>
        <w:t xml:space="preserve"> </w:t>
      </w:r>
      <w:r>
        <w:rPr>
          <w:rFonts w:ascii="Arial Narrow" w:hAnsi="Arial Narrow"/>
        </w:rPr>
        <w:t xml:space="preserve">These are </w:t>
      </w:r>
      <w:r w:rsidRPr="000B55AF">
        <w:rPr>
          <w:rFonts w:ascii="Arial Narrow" w:hAnsi="Arial Narrow"/>
        </w:rPr>
        <w:t xml:space="preserve">investments with a company operating a Real Estate Investment Trust (REIT). A portfolio of real estate is managed </w:t>
      </w:r>
      <w:proofErr w:type="gramStart"/>
      <w:r w:rsidRPr="000B55AF">
        <w:rPr>
          <w:rFonts w:ascii="Arial Narrow" w:hAnsi="Arial Narrow"/>
        </w:rPr>
        <w:t>in order to</w:t>
      </w:r>
      <w:proofErr w:type="gramEnd"/>
      <w:r w:rsidRPr="000B55AF">
        <w:rPr>
          <w:rFonts w:ascii="Arial Narrow" w:hAnsi="Arial Narrow"/>
        </w:rPr>
        <w:t xml:space="preserve"> earn profits for its shareholders. The investment in these REIT's </w:t>
      </w:r>
      <w:proofErr w:type="gramStart"/>
      <w:r w:rsidRPr="000B55AF">
        <w:rPr>
          <w:rFonts w:ascii="Arial Narrow" w:hAnsi="Arial Narrow"/>
        </w:rPr>
        <w:t>represent</w:t>
      </w:r>
      <w:proofErr w:type="gramEnd"/>
      <w:r w:rsidRPr="000B55AF">
        <w:rPr>
          <w:rFonts w:ascii="Arial Narrow" w:hAnsi="Arial Narrow"/>
        </w:rPr>
        <w:t xml:space="preserve"> a share of ownership in the trust, not a parcel of real estate.</w:t>
      </w:r>
    </w:p>
    <w:p w14:paraId="0B3B3A55" w14:textId="77777777" w:rsidR="000B55AF" w:rsidRDefault="000B55AF" w:rsidP="00FB7B39">
      <w:pPr>
        <w:jc w:val="both"/>
        <w:rPr>
          <w:rFonts w:ascii="Arial Narrow" w:hAnsi="Arial Narrow"/>
        </w:rPr>
      </w:pPr>
    </w:p>
    <w:p w14:paraId="7A397457" w14:textId="77777777" w:rsidR="00A01C46" w:rsidRPr="0085245D" w:rsidRDefault="00A01C46" w:rsidP="00FB7B39">
      <w:pPr>
        <w:jc w:val="both"/>
        <w:rPr>
          <w:rFonts w:ascii="Arial Narrow" w:hAnsi="Arial Narrow"/>
        </w:rPr>
      </w:pPr>
      <w:r w:rsidRPr="00A01C46">
        <w:rPr>
          <w:rFonts w:ascii="Arial Narrow" w:hAnsi="Arial Narrow"/>
          <w:b/>
        </w:rPr>
        <w:t>Repurchase agreements</w:t>
      </w:r>
      <w:r>
        <w:rPr>
          <w:rFonts w:ascii="Arial Narrow" w:hAnsi="Arial Narrow"/>
        </w:rPr>
        <w:t xml:space="preserve"> - A</w:t>
      </w:r>
      <w:r w:rsidRPr="00A01C46">
        <w:rPr>
          <w:rFonts w:ascii="Arial Narrow" w:hAnsi="Arial Narrow"/>
        </w:rPr>
        <w:t>greement</w:t>
      </w:r>
      <w:r>
        <w:rPr>
          <w:rFonts w:ascii="Arial Narrow" w:hAnsi="Arial Narrow"/>
        </w:rPr>
        <w:t>s</w:t>
      </w:r>
      <w:r w:rsidRPr="00A01C46">
        <w:rPr>
          <w:rFonts w:ascii="Arial Narrow" w:hAnsi="Arial Narrow"/>
        </w:rPr>
        <w:t xml:space="preserve"> in which a governmental entity (buyer-lender) transfers cash to a broker-dealer or financial institution (seller-borrower); the broker-dealer or financial institution transfers securities to the entity and promises to repay the cash plus interest in exchange for the same securities (as in definition (a) above) or for different securities.  </w:t>
      </w:r>
    </w:p>
    <w:p w14:paraId="093126EB" w14:textId="77777777" w:rsidR="00FB7B39" w:rsidRDefault="00FB7B39" w:rsidP="00470D6E">
      <w:pPr>
        <w:jc w:val="both"/>
        <w:rPr>
          <w:rFonts w:ascii="Arial Narrow" w:hAnsi="Arial Narrow"/>
        </w:rPr>
      </w:pPr>
    </w:p>
    <w:p w14:paraId="3DAEBBD8" w14:textId="77777777" w:rsidR="00EB5690" w:rsidRPr="00EB5690" w:rsidRDefault="00EB5690" w:rsidP="00470D6E">
      <w:pPr>
        <w:jc w:val="both"/>
        <w:rPr>
          <w:rFonts w:ascii="Arial Narrow" w:hAnsi="Arial Narrow"/>
        </w:rPr>
      </w:pPr>
      <w:r w:rsidRPr="00EB5690">
        <w:rPr>
          <w:rFonts w:ascii="Arial Narrow" w:hAnsi="Arial Narrow"/>
          <w:b/>
        </w:rPr>
        <w:t>State and local government</w:t>
      </w:r>
      <w:r w:rsidRPr="00EB5690">
        <w:rPr>
          <w:rFonts w:ascii="Arial Narrow" w:hAnsi="Arial Narrow"/>
        </w:rPr>
        <w:t xml:space="preserve"> - </w:t>
      </w:r>
      <w:r w:rsidR="00D313F4">
        <w:rPr>
          <w:rFonts w:ascii="Arial Narrow" w:hAnsi="Arial Narrow"/>
        </w:rPr>
        <w:t>Bonds</w:t>
      </w:r>
      <w:r w:rsidRPr="00EB5690">
        <w:rPr>
          <w:rFonts w:ascii="Arial Narrow" w:hAnsi="Arial Narrow"/>
        </w:rPr>
        <w:t xml:space="preserve"> issued by states, cities, counties and</w:t>
      </w:r>
      <w:r w:rsidR="00D313F4">
        <w:rPr>
          <w:rFonts w:ascii="Arial Narrow" w:hAnsi="Arial Narrow"/>
        </w:rPr>
        <w:t>/or</w:t>
      </w:r>
      <w:r w:rsidRPr="00EB5690">
        <w:rPr>
          <w:rFonts w:ascii="Arial Narrow" w:hAnsi="Arial Narrow"/>
        </w:rPr>
        <w:t xml:space="preserve"> other governmental entities</w:t>
      </w:r>
      <w:r>
        <w:rPr>
          <w:rFonts w:ascii="Arial Narrow" w:hAnsi="Arial Narrow"/>
        </w:rPr>
        <w:t xml:space="preserve"> in the U.S.</w:t>
      </w:r>
    </w:p>
    <w:p w14:paraId="73692954" w14:textId="77777777" w:rsidR="00EB5690" w:rsidRDefault="00EB5690" w:rsidP="00470D6E">
      <w:pPr>
        <w:jc w:val="both"/>
        <w:rPr>
          <w:rFonts w:ascii="Arial Narrow" w:hAnsi="Arial Narrow"/>
        </w:rPr>
      </w:pPr>
    </w:p>
    <w:p w14:paraId="24636FE2" w14:textId="77777777" w:rsidR="00470D6E" w:rsidRPr="00473A6E" w:rsidRDefault="00470D6E" w:rsidP="00470D6E">
      <w:pPr>
        <w:jc w:val="both"/>
        <w:rPr>
          <w:rFonts w:ascii="Arial Narrow" w:hAnsi="Arial Narrow" w:cs="Arial"/>
        </w:rPr>
      </w:pPr>
      <w:r w:rsidRPr="00473A6E">
        <w:rPr>
          <w:rFonts w:ascii="Arial Narrow" w:hAnsi="Arial Narrow" w:cs="Arial"/>
          <w:b/>
        </w:rPr>
        <w:t xml:space="preserve">U.S. </w:t>
      </w:r>
      <w:r w:rsidR="0019158B">
        <w:rPr>
          <w:rFonts w:ascii="Arial Narrow" w:hAnsi="Arial Narrow" w:cs="Arial"/>
          <w:b/>
        </w:rPr>
        <w:t>a</w:t>
      </w:r>
      <w:r w:rsidRPr="00473A6E">
        <w:rPr>
          <w:rFonts w:ascii="Arial Narrow" w:hAnsi="Arial Narrow" w:cs="Arial"/>
          <w:b/>
        </w:rPr>
        <w:t>gencies</w:t>
      </w:r>
      <w:r w:rsidRPr="00473A6E">
        <w:rPr>
          <w:rFonts w:ascii="Arial Narrow" w:hAnsi="Arial Narrow" w:cs="Arial"/>
        </w:rPr>
        <w:t xml:space="preserve"> – Agency securities include all debt instruments issued by U.S. government agencies, departments, government-sponsored corporations and related instrumentalities.  These include the following:</w:t>
      </w:r>
    </w:p>
    <w:p w14:paraId="15C7E807" w14:textId="77777777" w:rsidR="00470D6E" w:rsidRPr="00473A6E" w:rsidRDefault="00470D6E" w:rsidP="00470D6E">
      <w:pPr>
        <w:numPr>
          <w:ilvl w:val="0"/>
          <w:numId w:val="21"/>
        </w:numPr>
        <w:tabs>
          <w:tab w:val="clear" w:pos="720"/>
          <w:tab w:val="left" w:pos="432"/>
        </w:tabs>
        <w:ind w:left="480" w:hanging="480"/>
        <w:jc w:val="both"/>
        <w:rPr>
          <w:rFonts w:ascii="Arial Narrow" w:hAnsi="Arial Narrow" w:cs="Arial"/>
        </w:rPr>
      </w:pPr>
      <w:r w:rsidRPr="00473A6E">
        <w:rPr>
          <w:rFonts w:ascii="Arial Narrow" w:hAnsi="Arial Narrow" w:cs="Arial"/>
        </w:rPr>
        <w:t xml:space="preserve">Discount notes issued by federal farm credit banks, FNMA, and Federal Home Loan </w:t>
      </w:r>
      <w:proofErr w:type="gramStart"/>
      <w:r w:rsidRPr="00473A6E">
        <w:rPr>
          <w:rFonts w:ascii="Arial Narrow" w:hAnsi="Arial Narrow" w:cs="Arial"/>
        </w:rPr>
        <w:t>Banks;</w:t>
      </w:r>
      <w:proofErr w:type="gramEnd"/>
    </w:p>
    <w:p w14:paraId="311D0D7D" w14:textId="77777777" w:rsidR="00470D6E" w:rsidRPr="00473A6E" w:rsidRDefault="00470D6E" w:rsidP="00470D6E">
      <w:pPr>
        <w:numPr>
          <w:ilvl w:val="0"/>
          <w:numId w:val="21"/>
        </w:numPr>
        <w:tabs>
          <w:tab w:val="clear" w:pos="720"/>
          <w:tab w:val="left" w:pos="432"/>
        </w:tabs>
        <w:ind w:left="480" w:hanging="480"/>
        <w:jc w:val="both"/>
        <w:rPr>
          <w:rFonts w:ascii="Arial Narrow" w:hAnsi="Arial Narrow" w:cs="Arial"/>
        </w:rPr>
      </w:pPr>
      <w:r w:rsidRPr="00473A6E">
        <w:rPr>
          <w:rFonts w:ascii="Arial Narrow" w:hAnsi="Arial Narrow" w:cs="Arial"/>
        </w:rPr>
        <w:t xml:space="preserve">Variable-rate notes issued by the Student Loan Marketing Association, Small Business Administration, and the Agency for International </w:t>
      </w:r>
      <w:proofErr w:type="gramStart"/>
      <w:r w:rsidRPr="00473A6E">
        <w:rPr>
          <w:rFonts w:ascii="Arial Narrow" w:hAnsi="Arial Narrow" w:cs="Arial"/>
        </w:rPr>
        <w:t>Development;</w:t>
      </w:r>
      <w:proofErr w:type="gramEnd"/>
    </w:p>
    <w:p w14:paraId="429B500C" w14:textId="77777777" w:rsidR="00470D6E" w:rsidRPr="00473A6E" w:rsidRDefault="00470D6E" w:rsidP="00470D6E">
      <w:pPr>
        <w:numPr>
          <w:ilvl w:val="0"/>
          <w:numId w:val="21"/>
        </w:numPr>
        <w:tabs>
          <w:tab w:val="clear" w:pos="720"/>
          <w:tab w:val="left" w:pos="432"/>
        </w:tabs>
        <w:ind w:left="480" w:hanging="480"/>
        <w:jc w:val="both"/>
        <w:rPr>
          <w:rFonts w:ascii="Arial Narrow" w:hAnsi="Arial Narrow" w:cs="Arial"/>
        </w:rPr>
      </w:pPr>
      <w:r w:rsidRPr="00473A6E">
        <w:rPr>
          <w:rFonts w:ascii="Arial Narrow" w:hAnsi="Arial Narrow" w:cs="Arial"/>
        </w:rPr>
        <w:t>Coupon securities issued by FNMA, the Federal Home Loan Bank, Bank for Co-Ops, Federal Land Banks, World Bank, and the Private Export Funding Corp; and</w:t>
      </w:r>
    </w:p>
    <w:p w14:paraId="5B5ABBD1" w14:textId="77777777" w:rsidR="00470D6E" w:rsidRPr="00473A6E" w:rsidRDefault="00470D6E" w:rsidP="00470D6E">
      <w:pPr>
        <w:numPr>
          <w:ilvl w:val="0"/>
          <w:numId w:val="21"/>
        </w:numPr>
        <w:tabs>
          <w:tab w:val="clear" w:pos="720"/>
          <w:tab w:val="left" w:pos="432"/>
        </w:tabs>
        <w:ind w:left="480" w:hanging="480"/>
        <w:jc w:val="both"/>
        <w:rPr>
          <w:rFonts w:ascii="Arial Narrow" w:hAnsi="Arial Narrow" w:cs="Arial"/>
        </w:rPr>
      </w:pPr>
      <w:r w:rsidRPr="00473A6E">
        <w:rPr>
          <w:rFonts w:ascii="Arial Narrow" w:hAnsi="Arial Narrow" w:cs="Arial"/>
        </w:rPr>
        <w:t>Mortgage Pass-through Securities issued by GNMA and FHLMC (Freddie Mac).</w:t>
      </w:r>
    </w:p>
    <w:p w14:paraId="42E42A80" w14:textId="77777777" w:rsidR="00470D6E" w:rsidRPr="00473A6E" w:rsidRDefault="00470D6E" w:rsidP="00470D6E">
      <w:pPr>
        <w:jc w:val="both"/>
        <w:rPr>
          <w:rFonts w:ascii="Arial Narrow" w:hAnsi="Arial Narrow"/>
        </w:rPr>
      </w:pPr>
    </w:p>
    <w:p w14:paraId="463F47B7" w14:textId="77777777" w:rsidR="00470D6E" w:rsidRPr="00473A6E" w:rsidRDefault="00470D6E" w:rsidP="00470D6E">
      <w:pPr>
        <w:jc w:val="both"/>
        <w:rPr>
          <w:rFonts w:ascii="Arial Narrow" w:hAnsi="Arial Narrow" w:cs="Arial"/>
        </w:rPr>
      </w:pPr>
      <w:r w:rsidRPr="00473A6E">
        <w:rPr>
          <w:rFonts w:ascii="Arial Narrow" w:hAnsi="Arial Narrow" w:cs="Arial"/>
          <w:b/>
        </w:rPr>
        <w:t xml:space="preserve">U.S. </w:t>
      </w:r>
      <w:r w:rsidR="0019158B">
        <w:rPr>
          <w:rFonts w:ascii="Arial Narrow" w:hAnsi="Arial Narrow" w:cs="Arial"/>
          <w:b/>
        </w:rPr>
        <w:t>t</w:t>
      </w:r>
      <w:r w:rsidRPr="00473A6E">
        <w:rPr>
          <w:rFonts w:ascii="Arial Narrow" w:hAnsi="Arial Narrow" w:cs="Arial"/>
          <w:b/>
        </w:rPr>
        <w:t>reasuries</w:t>
      </w:r>
      <w:r w:rsidRPr="00473A6E">
        <w:rPr>
          <w:rFonts w:ascii="Arial Narrow" w:hAnsi="Arial Narrow" w:cs="Arial"/>
        </w:rPr>
        <w:t xml:space="preserve"> —Treasury securities, which include bills, notes and bonds, are debt obligations of the U.S. government.   Because these debt obligations are backed by the “full faith and credit” of the </w:t>
      </w:r>
      <w:smartTag w:uri="urn:schemas-microsoft-com:office:smarttags" w:element="place">
        <w:smartTag w:uri="urn:schemas-microsoft-com:office:smarttags" w:element="country-region">
          <w:r w:rsidRPr="00473A6E">
            <w:rPr>
              <w:rFonts w:ascii="Arial Narrow" w:hAnsi="Arial Narrow" w:cs="Arial"/>
            </w:rPr>
            <w:t>U.S.</w:t>
          </w:r>
        </w:smartTag>
      </w:smartTag>
      <w:r w:rsidRPr="00473A6E">
        <w:rPr>
          <w:rFonts w:ascii="Arial Narrow" w:hAnsi="Arial Narrow" w:cs="Arial"/>
        </w:rPr>
        <w:t xml:space="preserve"> government, and thus by its ability to raise tax revenues and print currency, U.S. Treasury securities are considered the safest of all investments. They are viewed in the market as having no “credit risk,” meaning that it is virtually certain your interest and principal will be paid on time.</w:t>
      </w:r>
    </w:p>
    <w:p w14:paraId="04AF21CF" w14:textId="77777777" w:rsidR="00470D6E" w:rsidRPr="00473A6E" w:rsidRDefault="00470D6E" w:rsidP="00470D6E">
      <w:pPr>
        <w:jc w:val="both"/>
        <w:rPr>
          <w:rFonts w:ascii="Arial Narrow" w:hAnsi="Arial Narrow" w:cs="Arial"/>
        </w:rPr>
      </w:pPr>
    </w:p>
    <w:p w14:paraId="4DB0AC02" w14:textId="77777777" w:rsidR="00470D6E" w:rsidRPr="00473A6E" w:rsidRDefault="00470D6E" w:rsidP="00470D6E">
      <w:pPr>
        <w:jc w:val="both"/>
        <w:rPr>
          <w:rFonts w:ascii="Arial Narrow" w:hAnsi="Arial Narrow" w:cs="Arial"/>
        </w:rPr>
      </w:pPr>
      <w:r w:rsidRPr="00473A6E">
        <w:rPr>
          <w:rFonts w:ascii="Arial Narrow" w:hAnsi="Arial Narrow" w:cs="Arial"/>
          <w:b/>
        </w:rPr>
        <w:t xml:space="preserve">U.S. </w:t>
      </w:r>
      <w:r w:rsidR="0019158B">
        <w:rPr>
          <w:rFonts w:ascii="Arial Narrow" w:hAnsi="Arial Narrow" w:cs="Arial"/>
          <w:b/>
        </w:rPr>
        <w:t>t</w:t>
      </w:r>
      <w:r w:rsidRPr="00473A6E">
        <w:rPr>
          <w:rFonts w:ascii="Arial Narrow" w:hAnsi="Arial Narrow" w:cs="Arial"/>
          <w:b/>
        </w:rPr>
        <w:t xml:space="preserve">reasury </w:t>
      </w:r>
      <w:r w:rsidR="0019158B">
        <w:rPr>
          <w:rFonts w:ascii="Arial Narrow" w:hAnsi="Arial Narrow" w:cs="Arial"/>
          <w:b/>
        </w:rPr>
        <w:t>strips</w:t>
      </w:r>
      <w:r w:rsidRPr="00473A6E">
        <w:rPr>
          <w:rFonts w:ascii="Arial Narrow" w:hAnsi="Arial Narrow" w:cs="Arial"/>
        </w:rPr>
        <w:t xml:space="preserve"> – STRIPS is the acronym for Separate Trading of Registered Interest and Principal of Securities.  The STRIPS program lets investors hold and trade the individual interest and principal components of eligible Treasury notes and bonds as separate securities.  When a Treasury fixed-principal note or bond or a Treasury inflation-protected security (TIPS) is stripped, each interest payment and the principal payment </w:t>
      </w:r>
      <w:proofErr w:type="gramStart"/>
      <w:r w:rsidRPr="00473A6E">
        <w:rPr>
          <w:rFonts w:ascii="Arial Narrow" w:hAnsi="Arial Narrow" w:cs="Arial"/>
        </w:rPr>
        <w:t>becomes</w:t>
      </w:r>
      <w:proofErr w:type="gramEnd"/>
      <w:r w:rsidRPr="00473A6E">
        <w:rPr>
          <w:rFonts w:ascii="Arial Narrow" w:hAnsi="Arial Narrow" w:cs="Arial"/>
        </w:rPr>
        <w:t xml:space="preserve"> a separate zero-coupon security.  All Treasury notes and bonds are strippable.  STRIPS are obligations of the U.S. Treasury and are backed by the full faith and credit of the </w:t>
      </w:r>
      <w:smartTag w:uri="urn:schemas-microsoft-com:office:smarttags" w:element="place">
        <w:smartTag w:uri="urn:schemas-microsoft-com:office:smarttags" w:element="country-region">
          <w:r w:rsidRPr="00473A6E">
            <w:rPr>
              <w:rFonts w:ascii="Arial Narrow" w:hAnsi="Arial Narrow" w:cs="Arial"/>
            </w:rPr>
            <w:t>United States</w:t>
          </w:r>
        </w:smartTag>
      </w:smartTag>
      <w:r w:rsidRPr="00473A6E">
        <w:rPr>
          <w:rFonts w:ascii="Arial Narrow" w:hAnsi="Arial Narrow" w:cs="Arial"/>
        </w:rPr>
        <w:t>.</w:t>
      </w:r>
    </w:p>
    <w:p w14:paraId="18B285D3" w14:textId="77777777" w:rsidR="00511776" w:rsidRDefault="00511776" w:rsidP="00470D6E">
      <w:pPr>
        <w:jc w:val="both"/>
        <w:rPr>
          <w:rFonts w:ascii="Arial Narrow" w:hAnsi="Arial Narrow"/>
          <w:b/>
          <w:sz w:val="24"/>
          <w:szCs w:val="24"/>
          <w:u w:val="single"/>
        </w:rPr>
      </w:pPr>
    </w:p>
    <w:p w14:paraId="13C4B557" w14:textId="77777777" w:rsidR="00470D6E" w:rsidRPr="00470D6E" w:rsidRDefault="00470D6E" w:rsidP="00470D6E">
      <w:pPr>
        <w:jc w:val="both"/>
        <w:rPr>
          <w:rFonts w:ascii="Arial Narrow" w:hAnsi="Arial Narrow"/>
          <w:b/>
          <w:sz w:val="24"/>
          <w:szCs w:val="24"/>
          <w:u w:val="single"/>
        </w:rPr>
      </w:pPr>
      <w:r w:rsidRPr="00470D6E">
        <w:rPr>
          <w:rFonts w:ascii="Arial Narrow" w:hAnsi="Arial Narrow"/>
          <w:b/>
          <w:sz w:val="24"/>
          <w:szCs w:val="24"/>
          <w:u w:val="single"/>
        </w:rPr>
        <w:t>Other Key Definitions</w:t>
      </w:r>
    </w:p>
    <w:p w14:paraId="7C6D7B3B" w14:textId="77777777" w:rsidR="00470D6E" w:rsidRPr="00473A6E" w:rsidRDefault="00470D6E" w:rsidP="00470D6E">
      <w:pPr>
        <w:jc w:val="both"/>
        <w:rPr>
          <w:rFonts w:ascii="Arial Narrow" w:hAnsi="Arial Narrow"/>
        </w:rPr>
      </w:pPr>
    </w:p>
    <w:p w14:paraId="0F1D8238"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Collateralized </w:t>
      </w:r>
      <w:r w:rsidRPr="00473A6E">
        <w:rPr>
          <w:rFonts w:ascii="Arial Narrow" w:hAnsi="Arial Narrow"/>
        </w:rPr>
        <w:t>- The underlying mortgage-backed securities backing a CMO deal.</w:t>
      </w:r>
    </w:p>
    <w:p w14:paraId="7A195484" w14:textId="77777777" w:rsidR="007769B0" w:rsidRPr="005D3AE2" w:rsidRDefault="007769B0" w:rsidP="007769B0">
      <w:pPr>
        <w:jc w:val="both"/>
        <w:rPr>
          <w:rFonts w:ascii="Arial" w:hAnsi="Arial" w:cs="Arial"/>
        </w:rPr>
      </w:pPr>
    </w:p>
    <w:p w14:paraId="38CC324E" w14:textId="77777777" w:rsidR="004E46A3" w:rsidRDefault="004E46A3" w:rsidP="00473A6E">
      <w:pPr>
        <w:spacing w:line="240" w:lineRule="atLeast"/>
        <w:jc w:val="both"/>
        <w:rPr>
          <w:rFonts w:ascii="Arial Narrow" w:hAnsi="Arial Narrow"/>
        </w:rPr>
      </w:pPr>
      <w:r>
        <w:rPr>
          <w:rFonts w:ascii="Arial Narrow" w:hAnsi="Arial Narrow"/>
          <w:b/>
        </w:rPr>
        <w:lastRenderedPageBreak/>
        <w:t>CMO Tranche Types</w:t>
      </w:r>
      <w:proofErr w:type="gramStart"/>
      <w:r>
        <w:rPr>
          <w:rFonts w:ascii="Arial Narrow" w:hAnsi="Arial Narrow"/>
          <w:b/>
        </w:rPr>
        <w:t xml:space="preserve">:  </w:t>
      </w:r>
      <w:r>
        <w:rPr>
          <w:rFonts w:ascii="Arial Narrow" w:hAnsi="Arial Narrow"/>
        </w:rPr>
        <w:t>The</w:t>
      </w:r>
      <w:proofErr w:type="gramEnd"/>
      <w:r>
        <w:rPr>
          <w:rFonts w:ascii="Arial Narrow" w:hAnsi="Arial Narrow"/>
        </w:rPr>
        <w:t xml:space="preserve"> tranche type is determined based on a series of descriptors.  The descriptors are ordered to reflect the principal payment behavior of the bond and then the interest payment behavior of the bond.  The following is a list which describes each descriptor:</w:t>
      </w:r>
    </w:p>
    <w:p w14:paraId="0CB2B8F9" w14:textId="77777777" w:rsidR="004E46A3" w:rsidRDefault="004E46A3">
      <w:pPr>
        <w:tabs>
          <w:tab w:val="left" w:pos="2160"/>
        </w:tabs>
        <w:spacing w:line="240" w:lineRule="atLeast"/>
        <w:ind w:left="720" w:hanging="720"/>
        <w:jc w:val="both"/>
        <w:rPr>
          <w:rFonts w:ascii="Arial Narrow" w:hAnsi="Arial Narrow"/>
        </w:rPr>
      </w:pPr>
    </w:p>
    <w:p w14:paraId="3F6EEBBE" w14:textId="77777777" w:rsidR="004E46A3" w:rsidRDefault="004E46A3">
      <w:pPr>
        <w:tabs>
          <w:tab w:val="left" w:pos="2160"/>
        </w:tabs>
        <w:spacing w:line="240" w:lineRule="atLeast"/>
        <w:ind w:left="720"/>
        <w:jc w:val="both"/>
        <w:rPr>
          <w:rFonts w:ascii="Arial Narrow" w:hAnsi="Arial Narrow"/>
        </w:rPr>
      </w:pPr>
      <w:r>
        <w:rPr>
          <w:rFonts w:ascii="Arial Narrow" w:hAnsi="Arial Narrow"/>
          <w:b/>
        </w:rPr>
        <w:t xml:space="preserve">AD    </w:t>
      </w:r>
      <w:r>
        <w:rPr>
          <w:rFonts w:ascii="Arial Narrow" w:hAnsi="Arial Narrow"/>
        </w:rPr>
        <w:t>Accretion Directed - A bond that pays principal from specified accretions of accrual bonds.</w:t>
      </w:r>
    </w:p>
    <w:p w14:paraId="1D56B636" w14:textId="77777777" w:rsidR="004E46A3" w:rsidRDefault="004E46A3">
      <w:pPr>
        <w:tabs>
          <w:tab w:val="left" w:pos="2160"/>
        </w:tabs>
        <w:spacing w:line="240" w:lineRule="atLeast"/>
        <w:ind w:left="720"/>
        <w:jc w:val="both"/>
        <w:rPr>
          <w:rFonts w:ascii="Arial Narrow" w:hAnsi="Arial Narrow"/>
        </w:rPr>
      </w:pPr>
    </w:p>
    <w:p w14:paraId="2298F575" w14:textId="77777777" w:rsidR="004E46A3" w:rsidRDefault="004E46A3">
      <w:pPr>
        <w:tabs>
          <w:tab w:val="left" w:pos="2160"/>
        </w:tabs>
        <w:spacing w:line="240" w:lineRule="atLeast"/>
        <w:ind w:left="720"/>
        <w:jc w:val="both"/>
        <w:rPr>
          <w:rFonts w:ascii="Arial Narrow" w:hAnsi="Arial Narrow"/>
        </w:rPr>
      </w:pPr>
      <w:proofErr w:type="gramStart"/>
      <w:r>
        <w:rPr>
          <w:rFonts w:ascii="Arial Narrow" w:hAnsi="Arial Narrow"/>
          <w:b/>
        </w:rPr>
        <w:t xml:space="preserve">CPT  </w:t>
      </w:r>
      <w:r>
        <w:rPr>
          <w:rFonts w:ascii="Arial Narrow" w:hAnsi="Arial Narrow"/>
        </w:rPr>
        <w:t>Component</w:t>
      </w:r>
      <w:proofErr w:type="gramEnd"/>
      <w:r>
        <w:rPr>
          <w:rFonts w:ascii="Arial Narrow" w:hAnsi="Arial Narrow"/>
        </w:rPr>
        <w:t xml:space="preserve"> - A bond comprised of multiple components, sometimes of different types.</w:t>
      </w:r>
    </w:p>
    <w:p w14:paraId="610D5A0D" w14:textId="77777777" w:rsidR="004E46A3" w:rsidRDefault="004E46A3">
      <w:pPr>
        <w:tabs>
          <w:tab w:val="left" w:pos="2160"/>
        </w:tabs>
        <w:spacing w:line="240" w:lineRule="atLeast"/>
        <w:ind w:left="720"/>
        <w:jc w:val="both"/>
        <w:rPr>
          <w:rFonts w:ascii="Arial Narrow" w:hAnsi="Arial Narrow"/>
        </w:rPr>
      </w:pPr>
    </w:p>
    <w:p w14:paraId="584488AD" w14:textId="77777777" w:rsidR="004E46A3" w:rsidRDefault="004E46A3">
      <w:pPr>
        <w:tabs>
          <w:tab w:val="left" w:pos="2160"/>
        </w:tabs>
        <w:spacing w:line="240" w:lineRule="atLeast"/>
        <w:ind w:left="1260" w:hanging="540"/>
        <w:jc w:val="both"/>
        <w:rPr>
          <w:rFonts w:ascii="Arial Narrow" w:hAnsi="Arial Narrow"/>
        </w:rPr>
      </w:pPr>
      <w:proofErr w:type="gramStart"/>
      <w:r>
        <w:rPr>
          <w:rFonts w:ascii="Arial Narrow" w:hAnsi="Arial Narrow"/>
          <w:b/>
        </w:rPr>
        <w:t xml:space="preserve">DLY  </w:t>
      </w:r>
      <w:r>
        <w:rPr>
          <w:rFonts w:ascii="Arial Narrow" w:hAnsi="Arial Narrow"/>
        </w:rPr>
        <w:t>Delay</w:t>
      </w:r>
      <w:proofErr w:type="gramEnd"/>
      <w:r>
        <w:rPr>
          <w:rFonts w:ascii="Arial Narrow" w:hAnsi="Arial Narrow"/>
        </w:rPr>
        <w:t xml:space="preserve"> - Floating rate of inverse floating rate class for which there is a delay between the end of the interest accrual period and the payment date.</w:t>
      </w:r>
    </w:p>
    <w:p w14:paraId="583C3A86" w14:textId="77777777" w:rsidR="004E46A3" w:rsidRDefault="004E46A3">
      <w:pPr>
        <w:tabs>
          <w:tab w:val="left" w:pos="2160"/>
        </w:tabs>
        <w:spacing w:line="240" w:lineRule="atLeast"/>
        <w:ind w:left="1260" w:hanging="540"/>
        <w:jc w:val="both"/>
        <w:rPr>
          <w:rFonts w:ascii="Arial Narrow" w:hAnsi="Arial Narrow"/>
        </w:rPr>
      </w:pPr>
    </w:p>
    <w:p w14:paraId="199E132E"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FIX   </w:t>
      </w:r>
      <w:r>
        <w:rPr>
          <w:rFonts w:ascii="Arial Narrow" w:hAnsi="Arial Narrow"/>
        </w:rPr>
        <w:t>Fixed Interest Rate - A bond whose coupon rate does not vary.</w:t>
      </w:r>
    </w:p>
    <w:p w14:paraId="60527FC9" w14:textId="77777777" w:rsidR="004E46A3" w:rsidRDefault="004E46A3">
      <w:pPr>
        <w:tabs>
          <w:tab w:val="left" w:pos="2160"/>
        </w:tabs>
        <w:spacing w:line="240" w:lineRule="atLeast"/>
        <w:ind w:left="1260" w:hanging="540"/>
        <w:jc w:val="both"/>
        <w:rPr>
          <w:rFonts w:ascii="Arial Narrow" w:hAnsi="Arial Narrow"/>
        </w:rPr>
      </w:pPr>
    </w:p>
    <w:p w14:paraId="57FD2513" w14:textId="77777777" w:rsidR="004E46A3" w:rsidRDefault="004E46A3">
      <w:pPr>
        <w:tabs>
          <w:tab w:val="left" w:pos="2160"/>
        </w:tabs>
        <w:spacing w:line="240" w:lineRule="atLeast"/>
        <w:ind w:left="1260" w:hanging="540"/>
        <w:jc w:val="both"/>
        <w:rPr>
          <w:rFonts w:ascii="Arial Narrow" w:hAnsi="Arial Narrow"/>
        </w:rPr>
      </w:pPr>
      <w:proofErr w:type="gramStart"/>
      <w:r>
        <w:rPr>
          <w:rFonts w:ascii="Arial Narrow" w:hAnsi="Arial Narrow"/>
          <w:b/>
        </w:rPr>
        <w:t>FLT</w:t>
      </w:r>
      <w:r>
        <w:rPr>
          <w:rFonts w:ascii="Arial Narrow" w:hAnsi="Arial Narrow"/>
        </w:rPr>
        <w:t xml:space="preserve">  Floater</w:t>
      </w:r>
      <w:proofErr w:type="gramEnd"/>
      <w:r>
        <w:rPr>
          <w:rFonts w:ascii="Arial Narrow" w:hAnsi="Arial Narrow"/>
        </w:rPr>
        <w:t xml:space="preserve"> - A bond whose coupon resets periodically based upon a predetermined index.  The coupon varies directly with changes in the index.</w:t>
      </w:r>
    </w:p>
    <w:p w14:paraId="258428B0" w14:textId="77777777" w:rsidR="004E46A3" w:rsidRDefault="004E46A3">
      <w:pPr>
        <w:tabs>
          <w:tab w:val="left" w:pos="2160"/>
        </w:tabs>
        <w:spacing w:line="240" w:lineRule="atLeast"/>
        <w:ind w:left="1260" w:hanging="540"/>
        <w:jc w:val="both"/>
        <w:rPr>
          <w:rFonts w:ascii="Arial Narrow" w:hAnsi="Arial Narrow"/>
        </w:rPr>
      </w:pPr>
    </w:p>
    <w:p w14:paraId="5A19B929"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INV   </w:t>
      </w:r>
      <w:r>
        <w:rPr>
          <w:rFonts w:ascii="Arial Narrow" w:hAnsi="Arial Narrow"/>
        </w:rPr>
        <w:t>Inverse Floater - A bond whose coupon resets periodically based upon a predetermined index.  The coupon varies inversely with changes in the index.</w:t>
      </w:r>
    </w:p>
    <w:p w14:paraId="27E12FD7" w14:textId="77777777" w:rsidR="004E46A3" w:rsidRDefault="004E46A3">
      <w:pPr>
        <w:tabs>
          <w:tab w:val="left" w:pos="2160"/>
        </w:tabs>
        <w:spacing w:line="240" w:lineRule="atLeast"/>
        <w:ind w:left="1260" w:hanging="540"/>
        <w:jc w:val="both"/>
        <w:rPr>
          <w:rFonts w:ascii="Arial Narrow" w:hAnsi="Arial Narrow"/>
        </w:rPr>
      </w:pPr>
    </w:p>
    <w:p w14:paraId="04F50BB3"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IO    </w:t>
      </w:r>
      <w:r>
        <w:rPr>
          <w:rFonts w:ascii="Arial Narrow" w:hAnsi="Arial Narrow"/>
        </w:rPr>
        <w:t xml:space="preserve"> Interest Only - A bond that receives some or </w:t>
      </w:r>
      <w:proofErr w:type="gramStart"/>
      <w:r>
        <w:rPr>
          <w:rFonts w:ascii="Arial Narrow" w:hAnsi="Arial Narrow"/>
        </w:rPr>
        <w:t>all of</w:t>
      </w:r>
      <w:proofErr w:type="gramEnd"/>
      <w:r>
        <w:rPr>
          <w:rFonts w:ascii="Arial Narrow" w:hAnsi="Arial Narrow"/>
        </w:rPr>
        <w:t xml:space="preserve"> the interest portion of the underlying collateral and little or no principal.</w:t>
      </w:r>
    </w:p>
    <w:p w14:paraId="47CE752B" w14:textId="77777777" w:rsidR="004E46A3" w:rsidRDefault="004E46A3">
      <w:pPr>
        <w:tabs>
          <w:tab w:val="left" w:pos="2160"/>
        </w:tabs>
        <w:spacing w:line="240" w:lineRule="atLeast"/>
        <w:ind w:left="1260" w:hanging="540"/>
        <w:jc w:val="both"/>
        <w:rPr>
          <w:rFonts w:ascii="Arial Narrow" w:hAnsi="Arial Narrow"/>
        </w:rPr>
      </w:pPr>
    </w:p>
    <w:p w14:paraId="5671D3BA"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LIQ</w:t>
      </w:r>
      <w:r>
        <w:rPr>
          <w:rFonts w:ascii="Arial Narrow" w:hAnsi="Arial Narrow"/>
        </w:rPr>
        <w:t xml:space="preserve">   Liquidity - LIQ bonds are an agency issue bond that has a five-year or less original stated maturity or any non-agency issue that has a three-year or less original stated maturity.</w:t>
      </w:r>
    </w:p>
    <w:p w14:paraId="67D46FFE" w14:textId="77777777" w:rsidR="004E46A3" w:rsidRDefault="004E46A3">
      <w:pPr>
        <w:tabs>
          <w:tab w:val="left" w:pos="2160"/>
        </w:tabs>
        <w:spacing w:line="240" w:lineRule="atLeast"/>
        <w:jc w:val="both"/>
        <w:rPr>
          <w:rFonts w:ascii="Arial Narrow" w:hAnsi="Arial Narrow"/>
        </w:rPr>
      </w:pPr>
    </w:p>
    <w:p w14:paraId="5BD952EA" w14:textId="77777777" w:rsidR="004E46A3" w:rsidRDefault="004E46A3">
      <w:pPr>
        <w:tabs>
          <w:tab w:val="left" w:pos="2160"/>
        </w:tabs>
        <w:spacing w:line="240" w:lineRule="atLeast"/>
        <w:ind w:left="1260" w:hanging="540"/>
        <w:jc w:val="both"/>
        <w:outlineLvl w:val="0"/>
        <w:rPr>
          <w:rFonts w:ascii="Arial Narrow" w:hAnsi="Arial Narrow"/>
        </w:rPr>
      </w:pPr>
      <w:proofErr w:type="gramStart"/>
      <w:r>
        <w:rPr>
          <w:rFonts w:ascii="Arial Narrow" w:hAnsi="Arial Narrow"/>
          <w:b/>
        </w:rPr>
        <w:t xml:space="preserve">NPR  </w:t>
      </w:r>
      <w:r>
        <w:rPr>
          <w:rFonts w:ascii="Arial Narrow" w:hAnsi="Arial Narrow"/>
        </w:rPr>
        <w:t>Non</w:t>
      </w:r>
      <w:proofErr w:type="gramEnd"/>
      <w:r>
        <w:rPr>
          <w:rFonts w:ascii="Arial Narrow" w:hAnsi="Arial Narrow"/>
        </w:rPr>
        <w:t>-Paying Residual - Residual bond which pays neither principal nor interest.</w:t>
      </w:r>
    </w:p>
    <w:p w14:paraId="3B4ECD93" w14:textId="77777777" w:rsidR="004E46A3" w:rsidRDefault="004E46A3">
      <w:pPr>
        <w:tabs>
          <w:tab w:val="left" w:pos="2160"/>
        </w:tabs>
        <w:spacing w:line="240" w:lineRule="atLeast"/>
        <w:ind w:left="1260" w:hanging="540"/>
        <w:jc w:val="both"/>
        <w:rPr>
          <w:rFonts w:ascii="Arial Narrow" w:hAnsi="Arial Narrow"/>
        </w:rPr>
      </w:pPr>
    </w:p>
    <w:p w14:paraId="59314FD3" w14:textId="77777777" w:rsidR="004E46A3" w:rsidRDefault="004E46A3">
      <w:pPr>
        <w:tabs>
          <w:tab w:val="left" w:pos="2160"/>
        </w:tabs>
        <w:spacing w:line="240" w:lineRule="atLeast"/>
        <w:ind w:left="1260" w:hanging="540"/>
        <w:jc w:val="both"/>
        <w:rPr>
          <w:rFonts w:ascii="Arial Narrow" w:hAnsi="Arial Narrow"/>
        </w:rPr>
      </w:pPr>
      <w:proofErr w:type="gramStart"/>
      <w:r>
        <w:rPr>
          <w:rFonts w:ascii="Arial Narrow" w:hAnsi="Arial Narrow"/>
          <w:b/>
        </w:rPr>
        <w:t xml:space="preserve">PAC  </w:t>
      </w:r>
      <w:r>
        <w:rPr>
          <w:rFonts w:ascii="Arial Narrow" w:hAnsi="Arial Narrow"/>
        </w:rPr>
        <w:t>Planned</w:t>
      </w:r>
      <w:proofErr w:type="gramEnd"/>
      <w:r>
        <w:rPr>
          <w:rFonts w:ascii="Arial Narrow" w:hAnsi="Arial Narrow"/>
        </w:rPr>
        <w:t xml:space="preserve"> Amortization Class - A bond that pays principal based on a predetermined schedule.  The schedule is maintained </w:t>
      </w:r>
      <w:proofErr w:type="gramStart"/>
      <w:r>
        <w:rPr>
          <w:rFonts w:ascii="Arial Narrow" w:hAnsi="Arial Narrow"/>
        </w:rPr>
        <w:t>as long as</w:t>
      </w:r>
      <w:proofErr w:type="gramEnd"/>
      <w:r>
        <w:rPr>
          <w:rFonts w:ascii="Arial Narrow" w:hAnsi="Arial Narrow"/>
        </w:rPr>
        <w:t xml:space="preserve"> prepayment rates remain between the upper and lower “collar” rates.</w:t>
      </w:r>
    </w:p>
    <w:p w14:paraId="53D0402C" w14:textId="77777777" w:rsidR="004E46A3" w:rsidRDefault="004E46A3">
      <w:pPr>
        <w:tabs>
          <w:tab w:val="left" w:pos="2160"/>
        </w:tabs>
        <w:spacing w:line="240" w:lineRule="atLeast"/>
        <w:ind w:left="1260" w:hanging="540"/>
        <w:jc w:val="both"/>
        <w:rPr>
          <w:rFonts w:ascii="Arial Narrow" w:hAnsi="Arial Narrow"/>
        </w:rPr>
      </w:pPr>
    </w:p>
    <w:p w14:paraId="773AAEC0" w14:textId="77777777" w:rsidR="004E46A3" w:rsidRDefault="004E46A3">
      <w:pPr>
        <w:tabs>
          <w:tab w:val="left" w:pos="2160"/>
        </w:tabs>
        <w:spacing w:line="240" w:lineRule="atLeast"/>
        <w:ind w:left="1260" w:hanging="540"/>
        <w:jc w:val="both"/>
        <w:rPr>
          <w:rFonts w:ascii="Arial Narrow" w:hAnsi="Arial Narrow"/>
        </w:rPr>
      </w:pPr>
      <w:smartTag w:uri="urn:schemas-microsoft-com:office:smarttags" w:element="place">
        <w:r>
          <w:rPr>
            <w:rFonts w:ascii="Arial Narrow" w:hAnsi="Arial Narrow"/>
            <w:b/>
          </w:rPr>
          <w:t>PO</w:t>
        </w:r>
      </w:smartTag>
      <w:r>
        <w:rPr>
          <w:rFonts w:ascii="Arial Narrow" w:hAnsi="Arial Narrow"/>
        </w:rPr>
        <w:t xml:space="preserve">    Principal Only - A bond that does not receive any interest.</w:t>
      </w:r>
    </w:p>
    <w:p w14:paraId="214EE2A1" w14:textId="77777777" w:rsidR="004E46A3" w:rsidRDefault="004E46A3">
      <w:pPr>
        <w:tabs>
          <w:tab w:val="left" w:pos="2160"/>
        </w:tabs>
        <w:spacing w:line="240" w:lineRule="atLeast"/>
        <w:ind w:left="1260" w:hanging="540"/>
        <w:jc w:val="both"/>
        <w:rPr>
          <w:rFonts w:ascii="Arial Narrow" w:hAnsi="Arial Narrow"/>
        </w:rPr>
      </w:pPr>
    </w:p>
    <w:p w14:paraId="6A58FD19" w14:textId="77777777" w:rsidR="004E46A3" w:rsidRDefault="004E46A3">
      <w:pPr>
        <w:tabs>
          <w:tab w:val="left" w:pos="2160"/>
        </w:tabs>
        <w:spacing w:line="240" w:lineRule="atLeast"/>
        <w:ind w:left="1260" w:hanging="540"/>
        <w:jc w:val="both"/>
        <w:rPr>
          <w:rFonts w:ascii="Arial Narrow" w:hAnsi="Arial Narrow"/>
        </w:rPr>
      </w:pPr>
      <w:proofErr w:type="gramStart"/>
      <w:r>
        <w:rPr>
          <w:rFonts w:ascii="Arial Narrow" w:hAnsi="Arial Narrow"/>
          <w:b/>
        </w:rPr>
        <w:t xml:space="preserve">SCH  </w:t>
      </w:r>
      <w:r>
        <w:rPr>
          <w:rFonts w:ascii="Arial Narrow" w:hAnsi="Arial Narrow"/>
        </w:rPr>
        <w:t>Scheduled</w:t>
      </w:r>
      <w:proofErr w:type="gramEnd"/>
      <w:r>
        <w:rPr>
          <w:rFonts w:ascii="Arial Narrow" w:hAnsi="Arial Narrow"/>
        </w:rPr>
        <w:t xml:space="preserve"> - A bond that pays principal based on a predetermined </w:t>
      </w:r>
      <w:proofErr w:type="gramStart"/>
      <w:r>
        <w:rPr>
          <w:rFonts w:ascii="Arial Narrow" w:hAnsi="Arial Narrow"/>
        </w:rPr>
        <w:t>schedule, but</w:t>
      </w:r>
      <w:proofErr w:type="gramEnd"/>
      <w:r>
        <w:rPr>
          <w:rFonts w:ascii="Arial Narrow" w:hAnsi="Arial Narrow"/>
        </w:rPr>
        <w:t xml:space="preserve"> does not fit the definition of a PAC or TAC.  Generally, scheduled tranches have a prepayment collar that is too narrow to be called a </w:t>
      </w:r>
      <w:smartTag w:uri="urn:schemas-microsoft-com:office:smarttags" w:element="place">
        <w:r>
          <w:rPr>
            <w:rFonts w:ascii="Arial Narrow" w:hAnsi="Arial Narrow"/>
          </w:rPr>
          <w:t>PAC.</w:t>
        </w:r>
      </w:smartTag>
    </w:p>
    <w:p w14:paraId="72F29447" w14:textId="77777777" w:rsidR="004E46A3" w:rsidRDefault="004E46A3">
      <w:pPr>
        <w:tabs>
          <w:tab w:val="left" w:pos="2160"/>
        </w:tabs>
        <w:spacing w:line="240" w:lineRule="atLeast"/>
        <w:ind w:left="1260" w:hanging="540"/>
        <w:jc w:val="both"/>
        <w:rPr>
          <w:rFonts w:ascii="Arial Narrow" w:hAnsi="Arial Narrow"/>
        </w:rPr>
      </w:pPr>
    </w:p>
    <w:p w14:paraId="5F2F4CB8" w14:textId="77777777" w:rsidR="004E46A3" w:rsidRDefault="004E46A3">
      <w:pPr>
        <w:tabs>
          <w:tab w:val="left" w:pos="2160"/>
        </w:tabs>
        <w:spacing w:line="240" w:lineRule="atLeast"/>
        <w:ind w:left="1260" w:hanging="540"/>
        <w:jc w:val="both"/>
        <w:rPr>
          <w:rFonts w:ascii="Arial Narrow" w:hAnsi="Arial Narrow"/>
        </w:rPr>
      </w:pPr>
      <w:proofErr w:type="gramStart"/>
      <w:r>
        <w:rPr>
          <w:rFonts w:ascii="Arial Narrow" w:hAnsi="Arial Narrow"/>
          <w:b/>
        </w:rPr>
        <w:t xml:space="preserve">SEQ  </w:t>
      </w:r>
      <w:r>
        <w:rPr>
          <w:rFonts w:ascii="Arial Narrow" w:hAnsi="Arial Narrow"/>
        </w:rPr>
        <w:t>Sequential</w:t>
      </w:r>
      <w:proofErr w:type="gramEnd"/>
      <w:r>
        <w:rPr>
          <w:rFonts w:ascii="Arial Narrow" w:hAnsi="Arial Narrow"/>
        </w:rPr>
        <w:t xml:space="preserve"> Pay - A bond which starts to pay principal when classes with an earlier priority have been paid off.  SEQ bonds have an uninterrupted payment of principal until retired.</w:t>
      </w:r>
    </w:p>
    <w:p w14:paraId="349F2276" w14:textId="77777777" w:rsidR="004E46A3" w:rsidRDefault="004E46A3">
      <w:pPr>
        <w:tabs>
          <w:tab w:val="left" w:pos="2160"/>
        </w:tabs>
        <w:spacing w:line="240" w:lineRule="atLeast"/>
        <w:ind w:left="1260" w:hanging="540"/>
        <w:jc w:val="both"/>
        <w:rPr>
          <w:rFonts w:ascii="Arial Narrow" w:hAnsi="Arial Narrow"/>
        </w:rPr>
      </w:pPr>
    </w:p>
    <w:p w14:paraId="57F9C6C2" w14:textId="77777777" w:rsidR="004E46A3" w:rsidRDefault="004E46A3">
      <w:pPr>
        <w:tabs>
          <w:tab w:val="left" w:pos="2160"/>
        </w:tabs>
        <w:spacing w:line="240" w:lineRule="atLeast"/>
        <w:ind w:left="1260" w:hanging="540"/>
        <w:jc w:val="both"/>
        <w:rPr>
          <w:rFonts w:ascii="Arial Narrow" w:hAnsi="Arial Narrow"/>
        </w:rPr>
      </w:pPr>
      <w:proofErr w:type="gramStart"/>
      <w:r>
        <w:rPr>
          <w:rFonts w:ascii="Arial Narrow" w:hAnsi="Arial Narrow"/>
          <w:b/>
        </w:rPr>
        <w:t xml:space="preserve">SUP  </w:t>
      </w:r>
      <w:r>
        <w:rPr>
          <w:rFonts w:ascii="Arial Narrow" w:hAnsi="Arial Narrow"/>
        </w:rPr>
        <w:t>Support</w:t>
      </w:r>
      <w:proofErr w:type="gramEnd"/>
      <w:r>
        <w:rPr>
          <w:rFonts w:ascii="Arial Narrow" w:hAnsi="Arial Narrow"/>
        </w:rPr>
        <w:t xml:space="preserve"> - A bond that receives principal payments after scheduled payments have been made on some or all PAC, TAC, and /or SCH bonds for each payment date.</w:t>
      </w:r>
    </w:p>
    <w:p w14:paraId="244ADBAB" w14:textId="77777777" w:rsidR="004E46A3" w:rsidRDefault="004E46A3">
      <w:pPr>
        <w:tabs>
          <w:tab w:val="left" w:pos="2160"/>
        </w:tabs>
        <w:spacing w:line="240" w:lineRule="atLeast"/>
        <w:ind w:left="1260" w:hanging="540"/>
        <w:jc w:val="both"/>
        <w:rPr>
          <w:rFonts w:ascii="Arial Narrow" w:hAnsi="Arial Narrow"/>
        </w:rPr>
      </w:pPr>
    </w:p>
    <w:p w14:paraId="66D9E4C5" w14:textId="77777777" w:rsidR="004E46A3" w:rsidRDefault="004E46A3">
      <w:pPr>
        <w:tabs>
          <w:tab w:val="left" w:pos="2160"/>
        </w:tabs>
        <w:spacing w:line="240" w:lineRule="atLeast"/>
        <w:ind w:left="1260" w:hanging="540"/>
        <w:jc w:val="both"/>
        <w:rPr>
          <w:rFonts w:ascii="Arial Narrow" w:hAnsi="Arial Narrow"/>
        </w:rPr>
      </w:pPr>
      <w:proofErr w:type="gramStart"/>
      <w:r>
        <w:rPr>
          <w:rFonts w:ascii="Arial Narrow" w:hAnsi="Arial Narrow"/>
          <w:b/>
        </w:rPr>
        <w:t xml:space="preserve">TAC  </w:t>
      </w:r>
      <w:r>
        <w:rPr>
          <w:rFonts w:ascii="Arial Narrow" w:hAnsi="Arial Narrow"/>
        </w:rPr>
        <w:t>Target</w:t>
      </w:r>
      <w:proofErr w:type="gramEnd"/>
      <w:r>
        <w:rPr>
          <w:rFonts w:ascii="Arial Narrow" w:hAnsi="Arial Narrow"/>
        </w:rPr>
        <w:t xml:space="preserve"> Amortization Class - A bond that pays principal based on a predetermined schedule.  </w:t>
      </w:r>
      <w:proofErr w:type="gramStart"/>
      <w:r>
        <w:rPr>
          <w:rFonts w:ascii="Arial Narrow" w:hAnsi="Arial Narrow"/>
        </w:rPr>
        <w:t>Similar to</w:t>
      </w:r>
      <w:proofErr w:type="gramEnd"/>
      <w:r>
        <w:rPr>
          <w:rFonts w:ascii="Arial Narrow" w:hAnsi="Arial Narrow"/>
        </w:rPr>
        <w:t xml:space="preserve"> a PAC, but with less extension protection.</w:t>
      </w:r>
    </w:p>
    <w:p w14:paraId="502A3581" w14:textId="77777777" w:rsidR="004E46A3" w:rsidRDefault="004E46A3">
      <w:pPr>
        <w:tabs>
          <w:tab w:val="left" w:pos="2160"/>
        </w:tabs>
        <w:spacing w:line="240" w:lineRule="atLeast"/>
        <w:ind w:left="1260" w:hanging="540"/>
        <w:jc w:val="both"/>
        <w:rPr>
          <w:rFonts w:ascii="Arial Narrow" w:hAnsi="Arial Narrow"/>
        </w:rPr>
      </w:pPr>
    </w:p>
    <w:p w14:paraId="7E536AD4" w14:textId="77777777" w:rsidR="004E46A3" w:rsidRDefault="004E46A3">
      <w:pPr>
        <w:tabs>
          <w:tab w:val="left" w:pos="2160"/>
        </w:tabs>
        <w:spacing w:line="240" w:lineRule="atLeast"/>
        <w:ind w:left="1260" w:hanging="540"/>
        <w:jc w:val="both"/>
        <w:rPr>
          <w:rFonts w:ascii="Arial Narrow" w:hAnsi="Arial Narrow"/>
          <w:b/>
        </w:rPr>
      </w:pPr>
      <w:r>
        <w:rPr>
          <w:rFonts w:ascii="Arial Narrow" w:hAnsi="Arial Narrow"/>
          <w:b/>
        </w:rPr>
        <w:t xml:space="preserve">Z        </w:t>
      </w:r>
      <w:r>
        <w:rPr>
          <w:rFonts w:ascii="Arial Narrow" w:hAnsi="Arial Narrow"/>
        </w:rPr>
        <w:t>Accrual - A bond that accretes interest which is added to the outstanding principal balance.</w:t>
      </w:r>
    </w:p>
    <w:p w14:paraId="61364678" w14:textId="77777777" w:rsidR="004E46A3" w:rsidRDefault="004E46A3">
      <w:pPr>
        <w:rPr>
          <w:rFonts w:ascii="Arial Narrow" w:hAnsi="Arial Narrow"/>
        </w:rPr>
      </w:pPr>
    </w:p>
    <w:p w14:paraId="7A3A4261" w14:textId="77777777" w:rsidR="009237DC" w:rsidRPr="00473A6E" w:rsidRDefault="009237DC" w:rsidP="00473A6E">
      <w:pPr>
        <w:jc w:val="both"/>
        <w:rPr>
          <w:rFonts w:ascii="Arial Narrow" w:hAnsi="Arial Narrow"/>
        </w:rPr>
      </w:pPr>
      <w:r w:rsidRPr="00473A6E">
        <w:rPr>
          <w:rFonts w:ascii="Arial Narrow" w:hAnsi="Arial Narrow"/>
          <w:b/>
        </w:rPr>
        <w:t>Concentration of credit risk</w:t>
      </w:r>
      <w:r w:rsidRPr="00473A6E">
        <w:rPr>
          <w:rFonts w:ascii="Arial Narrow" w:hAnsi="Arial Narrow"/>
        </w:rPr>
        <w:t xml:space="preserve"> -The risk of loss attributed to the magnitude of a government’s investment in a single issuer.</w:t>
      </w:r>
    </w:p>
    <w:p w14:paraId="28118CCF" w14:textId="77777777" w:rsidR="009237DC" w:rsidRPr="00473A6E" w:rsidRDefault="009237DC" w:rsidP="00473A6E">
      <w:pPr>
        <w:jc w:val="both"/>
        <w:rPr>
          <w:rFonts w:ascii="Arial Narrow" w:hAnsi="Arial Narrow"/>
        </w:rPr>
      </w:pPr>
    </w:p>
    <w:p w14:paraId="4453A78F" w14:textId="77777777" w:rsidR="009237DC" w:rsidRPr="00473A6E" w:rsidRDefault="009237DC" w:rsidP="00473A6E">
      <w:pPr>
        <w:jc w:val="both"/>
        <w:rPr>
          <w:rFonts w:ascii="Arial Narrow" w:hAnsi="Arial Narrow"/>
        </w:rPr>
      </w:pPr>
      <w:r w:rsidRPr="00473A6E">
        <w:rPr>
          <w:rFonts w:ascii="Arial Narrow" w:hAnsi="Arial Narrow"/>
          <w:b/>
        </w:rPr>
        <w:t>Counterparty</w:t>
      </w:r>
      <w:r w:rsidRPr="00473A6E">
        <w:rPr>
          <w:rFonts w:ascii="Arial Narrow" w:hAnsi="Arial Narrow"/>
        </w:rPr>
        <w:t xml:space="preserve"> - The party that pledges collateral or repurchase agreement securities to the government or that sells investments to or buys them for the government.</w:t>
      </w:r>
    </w:p>
    <w:p w14:paraId="584FE1EE" w14:textId="77777777" w:rsidR="009237DC" w:rsidRPr="00473A6E" w:rsidRDefault="009237DC" w:rsidP="00473A6E">
      <w:pPr>
        <w:jc w:val="both"/>
        <w:rPr>
          <w:rFonts w:ascii="Arial Narrow" w:hAnsi="Arial Narrow"/>
        </w:rPr>
      </w:pPr>
    </w:p>
    <w:p w14:paraId="0B9B3E28" w14:textId="77777777" w:rsidR="009237DC" w:rsidRPr="00473A6E" w:rsidRDefault="009237DC" w:rsidP="00473A6E">
      <w:pPr>
        <w:jc w:val="both"/>
        <w:rPr>
          <w:rFonts w:ascii="Arial Narrow" w:hAnsi="Arial Narrow"/>
        </w:rPr>
      </w:pPr>
      <w:r w:rsidRPr="00473A6E">
        <w:rPr>
          <w:rFonts w:ascii="Arial Narrow" w:hAnsi="Arial Narrow"/>
          <w:b/>
        </w:rPr>
        <w:t>Credit risk</w:t>
      </w:r>
      <w:r w:rsidRPr="00473A6E">
        <w:rPr>
          <w:rFonts w:ascii="Arial Narrow" w:hAnsi="Arial Narrow"/>
        </w:rPr>
        <w:t xml:space="preserve"> - The risk that an issuer or other </w:t>
      </w:r>
      <w:proofErr w:type="gramStart"/>
      <w:r w:rsidRPr="00473A6E">
        <w:rPr>
          <w:rFonts w:ascii="Arial Narrow" w:hAnsi="Arial Narrow"/>
        </w:rPr>
        <w:t>counterparty</w:t>
      </w:r>
      <w:proofErr w:type="gramEnd"/>
      <w:r w:rsidRPr="00473A6E">
        <w:rPr>
          <w:rFonts w:ascii="Arial Narrow" w:hAnsi="Arial Narrow"/>
        </w:rPr>
        <w:t xml:space="preserve"> to an investment will not fulfill its obligations.</w:t>
      </w:r>
    </w:p>
    <w:p w14:paraId="5DAC3E13" w14:textId="77777777" w:rsidR="009237DC" w:rsidRPr="00473A6E" w:rsidRDefault="009237DC" w:rsidP="00473A6E">
      <w:pPr>
        <w:jc w:val="both"/>
        <w:rPr>
          <w:rFonts w:ascii="Arial Narrow" w:hAnsi="Arial Narrow"/>
        </w:rPr>
      </w:pPr>
    </w:p>
    <w:p w14:paraId="33D64BED" w14:textId="77777777" w:rsidR="009237DC" w:rsidRPr="00473A6E" w:rsidRDefault="009237DC" w:rsidP="00473A6E">
      <w:pPr>
        <w:jc w:val="both"/>
        <w:rPr>
          <w:rFonts w:ascii="Arial Narrow" w:hAnsi="Arial Narrow"/>
        </w:rPr>
      </w:pPr>
      <w:r w:rsidRPr="00473A6E">
        <w:rPr>
          <w:rFonts w:ascii="Arial Narrow" w:hAnsi="Arial Narrow"/>
          <w:b/>
        </w:rPr>
        <w:t>Custodial credit risk</w:t>
      </w:r>
      <w:r w:rsidRPr="00473A6E">
        <w:rPr>
          <w:rFonts w:ascii="Arial Narrow" w:hAnsi="Arial Narrow"/>
        </w:rPr>
        <w:t xml:space="preserve"> - The custodial credit risk for deposits is the risk that, in the event of the failure of a depository financial institution, a government will not be able to recover deposits or will not be able to recover collateral securities that are in the </w:t>
      </w:r>
      <w:r w:rsidRPr="00473A6E">
        <w:rPr>
          <w:rFonts w:ascii="Arial Narrow" w:hAnsi="Arial Narrow"/>
        </w:rPr>
        <w:lastRenderedPageBreak/>
        <w:t>possession of an outside party.  The custodial credit risk for investments is the risk that, in the event of the failure of the counterparty to a transaction, a government will not be able to recover the value of investment or collateral securities that are in the possession of an outside party.</w:t>
      </w:r>
    </w:p>
    <w:p w14:paraId="3F2B8197" w14:textId="77777777" w:rsidR="004E46A3" w:rsidRPr="00473A6E" w:rsidRDefault="004E46A3" w:rsidP="00473A6E">
      <w:pPr>
        <w:jc w:val="both"/>
        <w:rPr>
          <w:rFonts w:ascii="Arial Narrow" w:hAnsi="Arial Narrow"/>
        </w:rPr>
      </w:pPr>
    </w:p>
    <w:p w14:paraId="03174411" w14:textId="77777777" w:rsidR="009237DC" w:rsidRPr="00473A6E" w:rsidRDefault="009237DC" w:rsidP="00473A6E">
      <w:pPr>
        <w:jc w:val="both"/>
        <w:rPr>
          <w:rFonts w:ascii="Arial Narrow" w:hAnsi="Arial Narrow"/>
        </w:rPr>
      </w:pPr>
      <w:r w:rsidRPr="00473A6E">
        <w:rPr>
          <w:rFonts w:ascii="Arial Narrow" w:hAnsi="Arial Narrow"/>
          <w:b/>
        </w:rPr>
        <w:t>Depository insurance</w:t>
      </w:r>
      <w:r w:rsidRPr="00473A6E">
        <w:rPr>
          <w:rFonts w:ascii="Arial Narrow" w:hAnsi="Arial Narrow"/>
        </w:rPr>
        <w:t xml:space="preserve"> - Depository insurance includes:</w:t>
      </w:r>
    </w:p>
    <w:p w14:paraId="2E9AFB38" w14:textId="77777777" w:rsidR="009237DC" w:rsidRPr="00473A6E" w:rsidRDefault="009237DC" w:rsidP="00473A6E">
      <w:pPr>
        <w:jc w:val="both"/>
        <w:rPr>
          <w:rFonts w:ascii="Arial Narrow" w:hAnsi="Arial Narrow"/>
        </w:rPr>
      </w:pPr>
      <w:r w:rsidRPr="00473A6E">
        <w:rPr>
          <w:rFonts w:ascii="Arial Narrow" w:hAnsi="Arial Narrow"/>
        </w:rPr>
        <w:t>a.</w:t>
      </w:r>
      <w:r w:rsidRPr="00473A6E">
        <w:rPr>
          <w:rFonts w:ascii="Arial Narrow" w:hAnsi="Arial Narrow"/>
        </w:rPr>
        <w:tab/>
        <w:t>Federal depository insurance funds, such as those maintained by the Federal Deposit Insurance Corporation.</w:t>
      </w:r>
    </w:p>
    <w:p w14:paraId="0AA47249" w14:textId="77777777" w:rsidR="009237DC" w:rsidRPr="00473A6E" w:rsidRDefault="009237DC" w:rsidP="00473A6E">
      <w:pPr>
        <w:jc w:val="both"/>
        <w:rPr>
          <w:rFonts w:ascii="Arial Narrow" w:hAnsi="Arial Narrow"/>
        </w:rPr>
      </w:pPr>
      <w:r w:rsidRPr="00473A6E">
        <w:rPr>
          <w:rFonts w:ascii="Arial Narrow" w:hAnsi="Arial Narrow"/>
        </w:rPr>
        <w:t>b.</w:t>
      </w:r>
      <w:r w:rsidRPr="00473A6E">
        <w:rPr>
          <w:rFonts w:ascii="Arial Narrow" w:hAnsi="Arial Narrow"/>
        </w:rPr>
        <w:tab/>
        <w:t>State depository insurance funds.</w:t>
      </w:r>
    </w:p>
    <w:p w14:paraId="61C103F4" w14:textId="77777777" w:rsidR="009237DC" w:rsidRPr="00473A6E" w:rsidRDefault="009237DC" w:rsidP="00473A6E">
      <w:pPr>
        <w:jc w:val="both"/>
        <w:rPr>
          <w:rFonts w:ascii="Arial Narrow" w:hAnsi="Arial Narrow"/>
        </w:rPr>
      </w:pPr>
      <w:r w:rsidRPr="00473A6E">
        <w:rPr>
          <w:rFonts w:ascii="Arial Narrow" w:hAnsi="Arial Narrow"/>
        </w:rPr>
        <w:t>c.</w:t>
      </w:r>
      <w:r w:rsidRPr="00473A6E">
        <w:rPr>
          <w:rFonts w:ascii="Arial Narrow" w:hAnsi="Arial Narrow"/>
        </w:rPr>
        <w:tab/>
        <w:t xml:space="preserve">Multiple financial institution collateral pools that </w:t>
      </w:r>
      <w:proofErr w:type="gramStart"/>
      <w:r w:rsidRPr="00473A6E">
        <w:rPr>
          <w:rFonts w:ascii="Arial Narrow" w:hAnsi="Arial Narrow"/>
        </w:rPr>
        <w:t>insure</w:t>
      </w:r>
      <w:proofErr w:type="gramEnd"/>
      <w:r w:rsidRPr="00473A6E">
        <w:rPr>
          <w:rFonts w:ascii="Arial Narrow" w:hAnsi="Arial Narrow"/>
        </w:rPr>
        <w:t xml:space="preserve"> public deposits. In such a pool, a group of financial institutions holding public funds pledge collateral to a common pool.</w:t>
      </w:r>
    </w:p>
    <w:p w14:paraId="44C192A3" w14:textId="77777777" w:rsidR="009237DC" w:rsidRPr="00473A6E" w:rsidRDefault="009237DC" w:rsidP="00473A6E">
      <w:pPr>
        <w:jc w:val="both"/>
        <w:rPr>
          <w:rFonts w:ascii="Arial Narrow" w:hAnsi="Arial Narrow"/>
        </w:rPr>
      </w:pPr>
    </w:p>
    <w:p w14:paraId="51235FBD" w14:textId="77777777" w:rsidR="004E46A3" w:rsidRPr="00473A6E" w:rsidRDefault="004E46A3" w:rsidP="00473A6E">
      <w:pPr>
        <w:jc w:val="both"/>
        <w:rPr>
          <w:rFonts w:ascii="Arial Narrow" w:hAnsi="Arial Narrow"/>
        </w:rPr>
      </w:pPr>
      <w:r w:rsidRPr="00473A6E">
        <w:rPr>
          <w:rFonts w:ascii="Arial Narrow" w:hAnsi="Arial Narrow"/>
          <w:b/>
        </w:rPr>
        <w:t xml:space="preserve">Derivatives </w:t>
      </w:r>
      <w:r w:rsidRPr="00473A6E">
        <w:rPr>
          <w:rFonts w:ascii="Arial Narrow" w:hAnsi="Arial Narrow"/>
        </w:rPr>
        <w:t>- Financial arrangements whose returns are linked to, or derived from, some underlying stock, bond index, commodity, or other asset.  They come in two basic types:  options and “forward-type” derivatives, which include forwards, futures, and swaps.  They may be listed on exchanges or negotiated privately between institutions.</w:t>
      </w:r>
    </w:p>
    <w:p w14:paraId="551CBE69" w14:textId="77777777" w:rsidR="004E46A3" w:rsidRPr="00473A6E" w:rsidRDefault="004E46A3" w:rsidP="00473A6E">
      <w:pPr>
        <w:jc w:val="both"/>
        <w:rPr>
          <w:rFonts w:ascii="Arial Narrow" w:hAnsi="Arial Narrow"/>
        </w:rPr>
      </w:pPr>
    </w:p>
    <w:p w14:paraId="4AC19970" w14:textId="77777777" w:rsidR="004E46A3" w:rsidRPr="00473A6E" w:rsidRDefault="004E46A3" w:rsidP="00473A6E">
      <w:pPr>
        <w:jc w:val="both"/>
        <w:rPr>
          <w:rFonts w:ascii="Arial Narrow" w:hAnsi="Arial Narrow"/>
        </w:rPr>
      </w:pPr>
      <w:r w:rsidRPr="00473A6E">
        <w:rPr>
          <w:rFonts w:ascii="Arial Narrow" w:hAnsi="Arial Narrow"/>
          <w:b/>
        </w:rPr>
        <w:t xml:space="preserve">Derivative Securities </w:t>
      </w:r>
      <w:r w:rsidRPr="00473A6E">
        <w:rPr>
          <w:rFonts w:ascii="Arial Narrow" w:hAnsi="Arial Narrow"/>
        </w:rPr>
        <w:t xml:space="preserve">- Trade like normal bonds, but their returns are determined by, or derived from, factors other than plain interest rates.  For instance, returns on “structures notes” may vary in line with changes in stock prices, commodity prices, foreign exchange rates, or two different interest rates.  Return on mortgage derivatives involve bets on the rate at which homeowners will repay </w:t>
      </w:r>
      <w:proofErr w:type="gramStart"/>
      <w:r w:rsidRPr="00473A6E">
        <w:rPr>
          <w:rFonts w:ascii="Arial Narrow" w:hAnsi="Arial Narrow"/>
        </w:rPr>
        <w:t>mortgages, and</w:t>
      </w:r>
      <w:proofErr w:type="gramEnd"/>
      <w:r w:rsidRPr="00473A6E">
        <w:rPr>
          <w:rFonts w:ascii="Arial Narrow" w:hAnsi="Arial Narrow"/>
        </w:rPr>
        <w:t xml:space="preserve"> often act like leveraged interest rate options.</w:t>
      </w:r>
    </w:p>
    <w:p w14:paraId="0028289F" w14:textId="77777777" w:rsidR="004E46A3" w:rsidRPr="00473A6E" w:rsidRDefault="004E46A3" w:rsidP="00473A6E">
      <w:pPr>
        <w:jc w:val="both"/>
        <w:rPr>
          <w:rFonts w:ascii="Arial Narrow" w:hAnsi="Arial Narrow"/>
        </w:rPr>
      </w:pPr>
    </w:p>
    <w:p w14:paraId="1FAB0174" w14:textId="77777777" w:rsidR="009237DC" w:rsidRPr="00473A6E" w:rsidRDefault="009237DC" w:rsidP="00473A6E">
      <w:pPr>
        <w:jc w:val="both"/>
        <w:rPr>
          <w:rFonts w:ascii="Arial Narrow" w:hAnsi="Arial Narrow"/>
        </w:rPr>
      </w:pPr>
      <w:r w:rsidRPr="00473A6E">
        <w:rPr>
          <w:rFonts w:ascii="Arial Narrow" w:hAnsi="Arial Narrow"/>
          <w:b/>
        </w:rPr>
        <w:t>Embedded option</w:t>
      </w:r>
      <w:r w:rsidRPr="00473A6E">
        <w:rPr>
          <w:rFonts w:ascii="Arial Narrow" w:hAnsi="Arial Narrow"/>
        </w:rPr>
        <w:t xml:space="preserve"> - A provision or term in a financial instrument that allows one party to change the timing or amount of one or more cash flows associated with that instrument. Examples include prepayment options on asset-backed securities.</w:t>
      </w:r>
    </w:p>
    <w:p w14:paraId="7E6380A0" w14:textId="77777777" w:rsidR="009237DC" w:rsidRDefault="009237DC" w:rsidP="00473A6E">
      <w:pPr>
        <w:jc w:val="both"/>
        <w:rPr>
          <w:rFonts w:ascii="Arial Narrow" w:hAnsi="Arial Narrow"/>
        </w:rPr>
      </w:pPr>
    </w:p>
    <w:p w14:paraId="4A4A7F46" w14:textId="77777777" w:rsidR="004E46A3" w:rsidRPr="00473A6E" w:rsidRDefault="004E46A3" w:rsidP="00473A6E">
      <w:pPr>
        <w:jc w:val="both"/>
        <w:rPr>
          <w:rFonts w:ascii="Arial Narrow" w:hAnsi="Arial Narrow"/>
        </w:rPr>
      </w:pPr>
      <w:r w:rsidRPr="00473A6E">
        <w:rPr>
          <w:rFonts w:ascii="Arial Narrow" w:hAnsi="Arial Narrow"/>
          <w:b/>
        </w:rPr>
        <w:t xml:space="preserve">Extension Risk </w:t>
      </w:r>
      <w:r w:rsidRPr="00473A6E">
        <w:rPr>
          <w:rFonts w:ascii="Arial Narrow" w:hAnsi="Arial Narrow"/>
        </w:rPr>
        <w:t>- Possible illiquidity of an investment due to a change in interest rate that slows down prepayments.  The investor may have to hold the investment longer than originally intended to recover the amount invested.</w:t>
      </w:r>
    </w:p>
    <w:p w14:paraId="270171BB" w14:textId="77777777" w:rsidR="004E46A3" w:rsidRPr="00473A6E" w:rsidRDefault="004E46A3" w:rsidP="00473A6E">
      <w:pPr>
        <w:jc w:val="both"/>
        <w:rPr>
          <w:rFonts w:ascii="Arial Narrow" w:hAnsi="Arial Narrow"/>
        </w:rPr>
      </w:pPr>
    </w:p>
    <w:p w14:paraId="7D74C97A" w14:textId="77777777" w:rsidR="009237DC" w:rsidRPr="00473A6E" w:rsidRDefault="009237DC" w:rsidP="00473A6E">
      <w:pPr>
        <w:jc w:val="both"/>
        <w:rPr>
          <w:rFonts w:ascii="Arial Narrow" w:hAnsi="Arial Narrow"/>
        </w:rPr>
      </w:pPr>
      <w:r w:rsidRPr="00473A6E">
        <w:rPr>
          <w:rFonts w:ascii="Arial Narrow" w:hAnsi="Arial Narrow"/>
          <w:b/>
        </w:rPr>
        <w:t>Federal Deposit Insurance Corporation</w:t>
      </w:r>
      <w:r w:rsidRPr="00473A6E">
        <w:rPr>
          <w:rFonts w:ascii="Arial Narrow" w:hAnsi="Arial Narrow"/>
        </w:rPr>
        <w:t xml:space="preserve"> - A corporation created by the federal government that insures deposits in banks and savings associations.</w:t>
      </w:r>
    </w:p>
    <w:p w14:paraId="04625685" w14:textId="77777777" w:rsidR="009237DC" w:rsidRPr="00473A6E" w:rsidRDefault="009237DC" w:rsidP="00473A6E">
      <w:pPr>
        <w:jc w:val="both"/>
        <w:rPr>
          <w:rFonts w:ascii="Arial Narrow" w:hAnsi="Arial Narrow"/>
        </w:rPr>
      </w:pPr>
    </w:p>
    <w:p w14:paraId="4B9DCFE8" w14:textId="77777777" w:rsidR="004E46A3" w:rsidRPr="00473A6E" w:rsidRDefault="004E46A3" w:rsidP="00473A6E">
      <w:pPr>
        <w:jc w:val="both"/>
        <w:rPr>
          <w:rFonts w:ascii="Arial Narrow" w:hAnsi="Arial Narrow"/>
        </w:rPr>
      </w:pPr>
      <w:r w:rsidRPr="00473A6E">
        <w:rPr>
          <w:rFonts w:ascii="Arial Narrow" w:hAnsi="Arial Narrow"/>
          <w:b/>
        </w:rPr>
        <w:t>Floater</w:t>
      </w:r>
      <w:r w:rsidRPr="00473A6E">
        <w:rPr>
          <w:rFonts w:ascii="Arial Narrow" w:hAnsi="Arial Narrow"/>
        </w:rPr>
        <w:t xml:space="preserve"> - A CMO class created from fixed rate </w:t>
      </w:r>
      <w:proofErr w:type="gramStart"/>
      <w:r w:rsidRPr="00473A6E">
        <w:rPr>
          <w:rFonts w:ascii="Arial Narrow" w:hAnsi="Arial Narrow"/>
        </w:rPr>
        <w:t>mortgage backed</w:t>
      </w:r>
      <w:proofErr w:type="gramEnd"/>
      <w:r w:rsidRPr="00473A6E">
        <w:rPr>
          <w:rFonts w:ascii="Arial Narrow" w:hAnsi="Arial Narrow"/>
        </w:rPr>
        <w:t xml:space="preserve"> collateral whose coupon adjusts </w:t>
      </w:r>
      <w:proofErr w:type="gramStart"/>
      <w:r w:rsidRPr="00473A6E">
        <w:rPr>
          <w:rFonts w:ascii="Arial Narrow" w:hAnsi="Arial Narrow"/>
        </w:rPr>
        <w:t>on a monthly basis</w:t>
      </w:r>
      <w:proofErr w:type="gramEnd"/>
      <w:r w:rsidRPr="00473A6E">
        <w:rPr>
          <w:rFonts w:ascii="Arial Narrow" w:hAnsi="Arial Narrow"/>
        </w:rPr>
        <w:t xml:space="preserve"> versus a market index.</w:t>
      </w:r>
    </w:p>
    <w:p w14:paraId="003DDBD7" w14:textId="77777777" w:rsidR="004E46A3" w:rsidRPr="00473A6E" w:rsidRDefault="004E46A3" w:rsidP="00473A6E">
      <w:pPr>
        <w:jc w:val="both"/>
        <w:rPr>
          <w:rFonts w:ascii="Arial Narrow" w:hAnsi="Arial Narrow"/>
        </w:rPr>
      </w:pPr>
    </w:p>
    <w:p w14:paraId="60277170" w14:textId="77777777" w:rsidR="009237DC" w:rsidRPr="00473A6E" w:rsidRDefault="009237DC" w:rsidP="00473A6E">
      <w:pPr>
        <w:jc w:val="both"/>
        <w:rPr>
          <w:rFonts w:ascii="Arial Narrow" w:hAnsi="Arial Narrow"/>
        </w:rPr>
      </w:pPr>
      <w:r w:rsidRPr="00473A6E">
        <w:rPr>
          <w:rFonts w:ascii="Arial Narrow" w:hAnsi="Arial Narrow"/>
          <w:b/>
        </w:rPr>
        <w:t>Foreign currency risk</w:t>
      </w:r>
      <w:r w:rsidRPr="00473A6E">
        <w:rPr>
          <w:rFonts w:ascii="Arial Narrow" w:hAnsi="Arial Narrow"/>
        </w:rPr>
        <w:t xml:space="preserve"> - The risk that changes in exchange rates will adversely affect the fair value of an investment or a deposit.</w:t>
      </w:r>
    </w:p>
    <w:p w14:paraId="6437C794" w14:textId="77777777" w:rsidR="009237DC" w:rsidRDefault="009237DC" w:rsidP="00473A6E">
      <w:pPr>
        <w:jc w:val="both"/>
        <w:rPr>
          <w:rFonts w:ascii="Arial Narrow" w:hAnsi="Arial Narrow"/>
        </w:rPr>
      </w:pPr>
    </w:p>
    <w:p w14:paraId="4AF06496"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High-risk </w:t>
      </w:r>
      <w:r w:rsidRPr="00473A6E">
        <w:rPr>
          <w:rFonts w:ascii="Arial Narrow" w:hAnsi="Arial Narrow"/>
        </w:rPr>
        <w:t>- A type of security deemed unsuitable for specified investors by certain regulatory agencies.</w:t>
      </w:r>
    </w:p>
    <w:p w14:paraId="034FB6F2" w14:textId="77777777" w:rsidR="004E46A3" w:rsidRPr="00473A6E" w:rsidRDefault="004E46A3" w:rsidP="00473A6E">
      <w:pPr>
        <w:jc w:val="both"/>
        <w:rPr>
          <w:rFonts w:ascii="Arial Narrow" w:hAnsi="Arial Narrow"/>
        </w:rPr>
      </w:pPr>
    </w:p>
    <w:p w14:paraId="242A1D56"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Index </w:t>
      </w:r>
      <w:r w:rsidRPr="00473A6E">
        <w:rPr>
          <w:rFonts w:ascii="Arial Narrow" w:hAnsi="Arial Narrow"/>
        </w:rPr>
        <w:t>- A benchmark measure of interest rates used in calculating coupons on adjustable securities.</w:t>
      </w:r>
    </w:p>
    <w:p w14:paraId="7EB4214A" w14:textId="77777777" w:rsidR="004E46A3" w:rsidRDefault="004E46A3" w:rsidP="00473A6E">
      <w:pPr>
        <w:jc w:val="both"/>
        <w:rPr>
          <w:rFonts w:ascii="Arial Narrow" w:hAnsi="Arial Narrow"/>
        </w:rPr>
      </w:pPr>
    </w:p>
    <w:p w14:paraId="5F6E1BCD" w14:textId="77777777" w:rsidR="004E46A3" w:rsidRPr="00473A6E" w:rsidRDefault="004E46A3" w:rsidP="00473A6E">
      <w:pPr>
        <w:jc w:val="both"/>
        <w:rPr>
          <w:rFonts w:ascii="Arial Narrow" w:hAnsi="Arial Narrow"/>
        </w:rPr>
      </w:pPr>
      <w:r w:rsidRPr="00473A6E">
        <w:rPr>
          <w:rFonts w:ascii="Arial Narrow" w:hAnsi="Arial Narrow"/>
          <w:b/>
        </w:rPr>
        <w:t xml:space="preserve">Interest Only </w:t>
      </w:r>
      <w:r w:rsidRPr="00473A6E">
        <w:rPr>
          <w:rFonts w:ascii="Arial Narrow" w:hAnsi="Arial Narrow"/>
        </w:rPr>
        <w:t>- A security whose payment represents the coupon payments on the outstanding principal balance of the underlying mortgage-backed security collateral and pays no principal.</w:t>
      </w:r>
    </w:p>
    <w:p w14:paraId="1E2D747F" w14:textId="77777777" w:rsidR="004E46A3" w:rsidRPr="00473A6E" w:rsidRDefault="004E46A3" w:rsidP="00473A6E">
      <w:pPr>
        <w:jc w:val="both"/>
        <w:rPr>
          <w:rFonts w:ascii="Arial Narrow" w:hAnsi="Arial Narrow"/>
        </w:rPr>
      </w:pPr>
    </w:p>
    <w:p w14:paraId="50DAEAA0" w14:textId="77777777" w:rsidR="009237DC" w:rsidRPr="00473A6E" w:rsidRDefault="009237DC" w:rsidP="00473A6E">
      <w:pPr>
        <w:jc w:val="both"/>
        <w:rPr>
          <w:rFonts w:ascii="Arial Narrow" w:hAnsi="Arial Narrow"/>
        </w:rPr>
      </w:pPr>
      <w:r w:rsidRPr="00473A6E">
        <w:rPr>
          <w:rFonts w:ascii="Arial Narrow" w:hAnsi="Arial Narrow"/>
          <w:b/>
        </w:rPr>
        <w:t>Interest rate risk</w:t>
      </w:r>
      <w:r w:rsidRPr="00473A6E">
        <w:rPr>
          <w:rFonts w:ascii="Arial Narrow" w:hAnsi="Arial Narrow"/>
        </w:rPr>
        <w:t xml:space="preserve"> - The risk that changes in interest rates will adversely affect the fair value of an investment.</w:t>
      </w:r>
    </w:p>
    <w:p w14:paraId="7967E8B1" w14:textId="77777777" w:rsidR="009237DC" w:rsidRPr="00473A6E" w:rsidRDefault="009237DC" w:rsidP="00473A6E">
      <w:pPr>
        <w:jc w:val="both"/>
        <w:rPr>
          <w:rFonts w:ascii="Arial Narrow" w:hAnsi="Arial Narrow"/>
        </w:rPr>
      </w:pPr>
    </w:p>
    <w:p w14:paraId="2256D613"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Inverse Floater </w:t>
      </w:r>
      <w:r w:rsidRPr="00473A6E">
        <w:rPr>
          <w:rFonts w:ascii="Arial Narrow" w:hAnsi="Arial Narrow"/>
        </w:rPr>
        <w:t>- A CMO class whose coupon adjusts opposite to the changes in a market index.</w:t>
      </w:r>
    </w:p>
    <w:p w14:paraId="785F4F78" w14:textId="77777777" w:rsidR="004E46A3" w:rsidRDefault="004E46A3" w:rsidP="00473A6E">
      <w:pPr>
        <w:jc w:val="both"/>
        <w:rPr>
          <w:rFonts w:ascii="Arial Narrow" w:hAnsi="Arial Narrow"/>
        </w:rPr>
      </w:pPr>
    </w:p>
    <w:p w14:paraId="7B78B41D" w14:textId="77777777" w:rsidR="009237DC" w:rsidRPr="00473A6E" w:rsidRDefault="009237DC" w:rsidP="00473A6E">
      <w:pPr>
        <w:jc w:val="both"/>
        <w:rPr>
          <w:rFonts w:ascii="Arial Narrow" w:hAnsi="Arial Narrow"/>
        </w:rPr>
      </w:pPr>
      <w:r w:rsidRPr="00473A6E">
        <w:rPr>
          <w:rFonts w:ascii="Arial Narrow" w:hAnsi="Arial Narrow"/>
          <w:b/>
        </w:rPr>
        <w:t>Issuer</w:t>
      </w:r>
      <w:r w:rsidRPr="00473A6E">
        <w:rPr>
          <w:rFonts w:ascii="Arial Narrow" w:hAnsi="Arial Narrow"/>
        </w:rPr>
        <w:t xml:space="preserve"> - An issuer is the entity that has the authority to distribute </w:t>
      </w:r>
      <w:proofErr w:type="gramStart"/>
      <w:r w:rsidRPr="00473A6E">
        <w:rPr>
          <w:rFonts w:ascii="Arial Narrow" w:hAnsi="Arial Narrow"/>
        </w:rPr>
        <w:t>a security</w:t>
      </w:r>
      <w:proofErr w:type="gramEnd"/>
      <w:r w:rsidRPr="00473A6E">
        <w:rPr>
          <w:rFonts w:ascii="Arial Narrow" w:hAnsi="Arial Narrow"/>
        </w:rPr>
        <w:t xml:space="preserve"> or other investment. A bond issuer is the entity that is legally obligated to make principal and interest payments to bond holders. In the case of mutual funds, external investment pools, and other pooled investments, issuer refers to the entity invested in, not the investment company-manager or pool sponsor.</w:t>
      </w:r>
    </w:p>
    <w:p w14:paraId="60A2B0BF" w14:textId="77777777" w:rsidR="009237DC" w:rsidRPr="00473A6E" w:rsidRDefault="009237DC" w:rsidP="00473A6E">
      <w:pPr>
        <w:jc w:val="both"/>
        <w:rPr>
          <w:rFonts w:ascii="Arial Narrow" w:hAnsi="Arial Narrow"/>
        </w:rPr>
      </w:pPr>
    </w:p>
    <w:p w14:paraId="5C638519" w14:textId="77777777" w:rsidR="004E46A3" w:rsidRPr="00473A6E" w:rsidRDefault="004E46A3" w:rsidP="00473A6E">
      <w:pPr>
        <w:jc w:val="both"/>
        <w:rPr>
          <w:rFonts w:ascii="Arial Narrow" w:hAnsi="Arial Narrow"/>
        </w:rPr>
      </w:pPr>
      <w:r w:rsidRPr="00473A6E">
        <w:rPr>
          <w:rFonts w:ascii="Arial Narrow" w:hAnsi="Arial Narrow"/>
          <w:b/>
        </w:rPr>
        <w:t xml:space="preserve">Legal Risk </w:t>
      </w:r>
      <w:r w:rsidRPr="00473A6E">
        <w:rPr>
          <w:rFonts w:ascii="Arial Narrow" w:hAnsi="Arial Narrow"/>
        </w:rPr>
        <w:t>- The possible financial loss resulting from an action by a court or by a regulatory or legislative body that could invalidate a financial contract.</w:t>
      </w:r>
    </w:p>
    <w:p w14:paraId="70F5F7A1" w14:textId="77777777" w:rsidR="004E46A3" w:rsidRPr="00473A6E" w:rsidRDefault="004E46A3" w:rsidP="00473A6E">
      <w:pPr>
        <w:jc w:val="both"/>
        <w:rPr>
          <w:rFonts w:ascii="Arial Narrow" w:hAnsi="Arial Narrow"/>
        </w:rPr>
      </w:pPr>
    </w:p>
    <w:p w14:paraId="2729DCBE" w14:textId="77777777" w:rsidR="004E46A3" w:rsidRDefault="004E46A3" w:rsidP="00473A6E">
      <w:pPr>
        <w:jc w:val="both"/>
        <w:rPr>
          <w:rFonts w:ascii="Arial Narrow" w:hAnsi="Arial Narrow"/>
        </w:rPr>
      </w:pPr>
      <w:r w:rsidRPr="00473A6E">
        <w:rPr>
          <w:rFonts w:ascii="Arial Narrow" w:hAnsi="Arial Narrow"/>
          <w:b/>
        </w:rPr>
        <w:t xml:space="preserve">Market Risk </w:t>
      </w:r>
      <w:r w:rsidRPr="00473A6E">
        <w:rPr>
          <w:rFonts w:ascii="Arial Narrow" w:hAnsi="Arial Narrow"/>
        </w:rPr>
        <w:t>- The risk that the market value of an investment, collateral protecting deposits, or securities underlying a repurchase agreement will decline.  This type of risk is affected by the length to maturity of a security, the need to liquidate a security before maturity, the extent that collateral exceeds the amount invested, and the frequency at which the amount of collateral is adjusted for changing market values.</w:t>
      </w:r>
    </w:p>
    <w:p w14:paraId="0C06253E" w14:textId="77777777" w:rsidR="00C62239" w:rsidRDefault="00C62239" w:rsidP="00473A6E">
      <w:pPr>
        <w:jc w:val="both"/>
        <w:rPr>
          <w:rFonts w:ascii="Arial Narrow" w:hAnsi="Arial Narrow"/>
        </w:rPr>
      </w:pPr>
    </w:p>
    <w:p w14:paraId="62CF622F" w14:textId="77777777" w:rsidR="004E46A3" w:rsidRPr="00473A6E" w:rsidRDefault="004E46A3" w:rsidP="00473A6E">
      <w:pPr>
        <w:jc w:val="both"/>
        <w:rPr>
          <w:rFonts w:ascii="Arial Narrow" w:hAnsi="Arial Narrow"/>
        </w:rPr>
      </w:pPr>
      <w:r w:rsidRPr="00473A6E">
        <w:rPr>
          <w:rFonts w:ascii="Arial Narrow" w:hAnsi="Arial Narrow"/>
          <w:b/>
        </w:rPr>
        <w:lastRenderedPageBreak/>
        <w:t xml:space="preserve">Negative Convexity </w:t>
      </w:r>
      <w:r w:rsidRPr="00473A6E">
        <w:rPr>
          <w:rFonts w:ascii="Arial Narrow" w:hAnsi="Arial Narrow"/>
        </w:rPr>
        <w:t xml:space="preserve">- Measure of how prices react to changes in interest rates.  Many CMOs are negatively convex, which means that when interest rates are falling, the price of the CMO may not rise as rapidly as a Treasury bond with equivalent coupon and maturity.  When interest rates rise, the CMO may experience more severe price declines than the equivalent Treasury bond.  Negative convexity is the result of changes in how quickly or slowly the principal of a CMO is being paid.  Changes in the speed of principal payments are a function of how quickly the mortgages that make up the bond collateral are paid off, either through refinancing or home sales.  Investors who have adequate information about the degree of negative convexity of </w:t>
      </w:r>
      <w:proofErr w:type="gramStart"/>
      <w:r w:rsidRPr="00473A6E">
        <w:rPr>
          <w:rFonts w:ascii="Arial Narrow" w:hAnsi="Arial Narrow"/>
        </w:rPr>
        <w:t>a security</w:t>
      </w:r>
      <w:proofErr w:type="gramEnd"/>
      <w:r w:rsidRPr="00473A6E">
        <w:rPr>
          <w:rFonts w:ascii="Arial Narrow" w:hAnsi="Arial Narrow"/>
        </w:rPr>
        <w:t xml:space="preserve"> will demand protection from this risk in the form of a discounted price.</w:t>
      </w:r>
    </w:p>
    <w:p w14:paraId="48F69AC9" w14:textId="77777777" w:rsidR="004E46A3" w:rsidRDefault="004E46A3" w:rsidP="00473A6E">
      <w:pPr>
        <w:jc w:val="both"/>
        <w:rPr>
          <w:rFonts w:ascii="Arial Narrow" w:hAnsi="Arial Narrow"/>
        </w:rPr>
      </w:pPr>
    </w:p>
    <w:p w14:paraId="379CF892" w14:textId="77777777" w:rsidR="004E46A3" w:rsidRPr="00473A6E" w:rsidRDefault="004E46A3" w:rsidP="00473A6E">
      <w:pPr>
        <w:jc w:val="both"/>
        <w:rPr>
          <w:rFonts w:ascii="Arial Narrow" w:hAnsi="Arial Narrow"/>
        </w:rPr>
      </w:pPr>
      <w:r w:rsidRPr="00473A6E">
        <w:rPr>
          <w:rFonts w:ascii="Arial Narrow" w:hAnsi="Arial Narrow"/>
          <w:b/>
        </w:rPr>
        <w:t xml:space="preserve">Prepayment Risk </w:t>
      </w:r>
      <w:r w:rsidRPr="00473A6E">
        <w:rPr>
          <w:rFonts w:ascii="Arial Narrow" w:hAnsi="Arial Narrow"/>
        </w:rPr>
        <w:t xml:space="preserve">- The risk associated with the extension or contraction of principal repayments in a pooled mortgage security.  Prepayments of any loan in the mortgage pool by a borrower will shorten the average life of </w:t>
      </w:r>
      <w:proofErr w:type="gramStart"/>
      <w:r w:rsidRPr="00473A6E">
        <w:rPr>
          <w:rFonts w:ascii="Arial Narrow" w:hAnsi="Arial Narrow"/>
        </w:rPr>
        <w:t>the security</w:t>
      </w:r>
      <w:proofErr w:type="gramEnd"/>
      <w:r w:rsidRPr="00473A6E">
        <w:rPr>
          <w:rFonts w:ascii="Arial Narrow" w:hAnsi="Arial Narrow"/>
        </w:rPr>
        <w:t xml:space="preserve"> </w:t>
      </w:r>
      <w:proofErr w:type="gramStart"/>
      <w:r w:rsidRPr="00473A6E">
        <w:rPr>
          <w:rFonts w:ascii="Arial Narrow" w:hAnsi="Arial Narrow"/>
        </w:rPr>
        <w:t>and also</w:t>
      </w:r>
      <w:proofErr w:type="gramEnd"/>
      <w:r w:rsidRPr="00473A6E">
        <w:rPr>
          <w:rFonts w:ascii="Arial Narrow" w:hAnsi="Arial Narrow"/>
        </w:rPr>
        <w:t xml:space="preserve"> affect the yield.  As interest rates decline, the borrowers are more likely to refinance their mortgage into a lower rate loan.</w:t>
      </w:r>
    </w:p>
    <w:p w14:paraId="1BF8D3EE" w14:textId="77777777" w:rsidR="004E46A3" w:rsidRPr="00473A6E" w:rsidRDefault="004E46A3" w:rsidP="00473A6E">
      <w:pPr>
        <w:jc w:val="both"/>
        <w:rPr>
          <w:rFonts w:ascii="Arial Narrow" w:hAnsi="Arial Narrow"/>
        </w:rPr>
      </w:pPr>
    </w:p>
    <w:p w14:paraId="33E7119A" w14:textId="77777777" w:rsidR="004E46A3" w:rsidRPr="00473A6E" w:rsidRDefault="004E46A3" w:rsidP="00473A6E">
      <w:pPr>
        <w:jc w:val="both"/>
        <w:rPr>
          <w:rFonts w:ascii="Arial Narrow" w:hAnsi="Arial Narrow"/>
        </w:rPr>
      </w:pPr>
      <w:r w:rsidRPr="00473A6E">
        <w:rPr>
          <w:rFonts w:ascii="Arial Narrow" w:hAnsi="Arial Narrow"/>
          <w:b/>
        </w:rPr>
        <w:t xml:space="preserve">Principal Only </w:t>
      </w:r>
      <w:r w:rsidRPr="00473A6E">
        <w:rPr>
          <w:rFonts w:ascii="Arial Narrow" w:hAnsi="Arial Narrow"/>
        </w:rPr>
        <w:t>- A security whose payment represents the principal stream of cash flow from the underlying mortgage-backed collateral and bears no interest rate.</w:t>
      </w:r>
    </w:p>
    <w:p w14:paraId="429B0701" w14:textId="77777777" w:rsidR="004E46A3" w:rsidRPr="00473A6E" w:rsidRDefault="004E46A3" w:rsidP="00473A6E">
      <w:pPr>
        <w:jc w:val="both"/>
        <w:rPr>
          <w:rFonts w:ascii="Arial Narrow" w:hAnsi="Arial Narrow"/>
        </w:rPr>
      </w:pPr>
    </w:p>
    <w:p w14:paraId="506884D5" w14:textId="77777777" w:rsidR="009237DC" w:rsidRPr="00473A6E" w:rsidRDefault="009237DC" w:rsidP="00473A6E">
      <w:pPr>
        <w:jc w:val="both"/>
        <w:rPr>
          <w:rFonts w:ascii="Arial Narrow" w:hAnsi="Arial Narrow"/>
        </w:rPr>
      </w:pPr>
      <w:r w:rsidRPr="00473A6E">
        <w:rPr>
          <w:rFonts w:ascii="Arial Narrow" w:hAnsi="Arial Narrow"/>
          <w:b/>
        </w:rPr>
        <w:t>Reset date</w:t>
      </w:r>
      <w:r w:rsidRPr="00473A6E">
        <w:rPr>
          <w:rFonts w:ascii="Arial Narrow" w:hAnsi="Arial Narrow"/>
        </w:rPr>
        <w:t xml:space="preserve"> - The time, frequently quarterly or semiannually, that a bond’s variable coupon is repriced to reflect changes in a benchmark index.</w:t>
      </w:r>
    </w:p>
    <w:p w14:paraId="54BCC68E" w14:textId="77777777" w:rsidR="009237DC" w:rsidRPr="00473A6E" w:rsidRDefault="009237DC" w:rsidP="00473A6E">
      <w:pPr>
        <w:jc w:val="both"/>
        <w:rPr>
          <w:rFonts w:ascii="Arial Narrow" w:hAnsi="Arial Narrow"/>
        </w:rPr>
      </w:pPr>
    </w:p>
    <w:p w14:paraId="691A13FE" w14:textId="77777777" w:rsidR="009237DC" w:rsidRPr="00473A6E" w:rsidRDefault="009237DC" w:rsidP="00473A6E">
      <w:pPr>
        <w:jc w:val="both"/>
        <w:rPr>
          <w:rFonts w:ascii="Arial Narrow" w:hAnsi="Arial Narrow"/>
        </w:rPr>
      </w:pPr>
      <w:r w:rsidRPr="00473A6E">
        <w:rPr>
          <w:rFonts w:ascii="Arial Narrow" w:hAnsi="Arial Narrow"/>
          <w:b/>
        </w:rPr>
        <w:t>Segmented time distributions</w:t>
      </w:r>
      <w:r w:rsidRPr="00473A6E">
        <w:rPr>
          <w:rFonts w:ascii="Arial Narrow" w:hAnsi="Arial Narrow"/>
        </w:rPr>
        <w:t xml:space="preserve"> - Segmented time distributions group investment cash flows into sequential time periods in tabular form.</w:t>
      </w:r>
    </w:p>
    <w:p w14:paraId="287DF262" w14:textId="77777777" w:rsidR="009237DC" w:rsidRPr="00473A6E" w:rsidRDefault="009237DC" w:rsidP="00473A6E">
      <w:pPr>
        <w:jc w:val="both"/>
        <w:rPr>
          <w:rFonts w:ascii="Arial Narrow" w:hAnsi="Arial Narrow"/>
        </w:rPr>
      </w:pPr>
    </w:p>
    <w:p w14:paraId="02C85DCA" w14:textId="77777777" w:rsidR="004E46A3" w:rsidRPr="00473A6E" w:rsidRDefault="004E46A3" w:rsidP="00473A6E">
      <w:pPr>
        <w:jc w:val="both"/>
        <w:rPr>
          <w:rFonts w:ascii="Arial Narrow" w:hAnsi="Arial Narrow"/>
        </w:rPr>
      </w:pPr>
      <w:r w:rsidRPr="00473A6E">
        <w:rPr>
          <w:rFonts w:ascii="Arial Narrow" w:hAnsi="Arial Narrow"/>
          <w:b/>
        </w:rPr>
        <w:t xml:space="preserve">Tolerable Risk </w:t>
      </w:r>
      <w:r w:rsidRPr="00473A6E">
        <w:rPr>
          <w:rFonts w:ascii="Arial Narrow" w:hAnsi="Arial Narrow"/>
        </w:rPr>
        <w:t>- The level of risk an entity is willing to accept without regards to the potential returns.  Only investment activity below this threshold will be undertaken.  Tolerable risk should be established when the entity outlines its investment objectives.</w:t>
      </w:r>
    </w:p>
    <w:p w14:paraId="5BC2CD19" w14:textId="77777777" w:rsidR="004E46A3" w:rsidRPr="00473A6E" w:rsidRDefault="004E46A3" w:rsidP="00473A6E">
      <w:pPr>
        <w:jc w:val="both"/>
        <w:rPr>
          <w:rFonts w:ascii="Arial Narrow" w:hAnsi="Arial Narrow"/>
        </w:rPr>
      </w:pPr>
    </w:p>
    <w:p w14:paraId="5B431332" w14:textId="77777777" w:rsidR="004E46A3" w:rsidRPr="00473A6E" w:rsidRDefault="004E46A3" w:rsidP="00473A6E">
      <w:pPr>
        <w:jc w:val="both"/>
        <w:outlineLvl w:val="0"/>
        <w:rPr>
          <w:rFonts w:ascii="Arial Narrow" w:hAnsi="Arial Narrow"/>
        </w:rPr>
      </w:pPr>
      <w:r w:rsidRPr="00473A6E">
        <w:rPr>
          <w:rFonts w:ascii="Arial Narrow" w:hAnsi="Arial Narrow"/>
          <w:b/>
        </w:rPr>
        <w:t>Tranche</w:t>
      </w:r>
      <w:r w:rsidRPr="00473A6E">
        <w:rPr>
          <w:rFonts w:ascii="Arial Narrow" w:hAnsi="Arial Narrow"/>
        </w:rPr>
        <w:t xml:space="preserve"> - A security class of a CMO deal.</w:t>
      </w:r>
    </w:p>
    <w:p w14:paraId="37445136" w14:textId="77777777" w:rsidR="004E46A3" w:rsidRPr="00473A6E" w:rsidRDefault="004E46A3" w:rsidP="00473A6E">
      <w:pPr>
        <w:jc w:val="both"/>
        <w:rPr>
          <w:rFonts w:ascii="Arial Narrow" w:hAnsi="Arial Narrow"/>
        </w:rPr>
      </w:pPr>
    </w:p>
    <w:p w14:paraId="52EC5B9C" w14:textId="77777777" w:rsidR="009237DC" w:rsidRPr="00473A6E" w:rsidRDefault="009237DC" w:rsidP="00473A6E">
      <w:pPr>
        <w:jc w:val="both"/>
        <w:rPr>
          <w:rFonts w:ascii="Arial Narrow" w:hAnsi="Arial Narrow"/>
        </w:rPr>
      </w:pPr>
      <w:r w:rsidRPr="00473A6E">
        <w:rPr>
          <w:rFonts w:ascii="Arial Narrow" w:hAnsi="Arial Narrow"/>
          <w:b/>
        </w:rPr>
        <w:t>Uncollateralized deposit</w:t>
      </w:r>
      <w:r w:rsidRPr="00473A6E">
        <w:rPr>
          <w:rFonts w:ascii="Arial Narrow" w:hAnsi="Arial Narrow"/>
        </w:rPr>
        <w:t xml:space="preserve"> - An uncollateralized deposit does not have securities pledged to the depositor-government.</w:t>
      </w:r>
    </w:p>
    <w:p w14:paraId="50834517" w14:textId="77777777" w:rsidR="009237DC" w:rsidRPr="00473A6E" w:rsidRDefault="009237DC" w:rsidP="00473A6E">
      <w:pPr>
        <w:jc w:val="both"/>
        <w:rPr>
          <w:rFonts w:ascii="Arial Narrow" w:hAnsi="Arial Narrow"/>
        </w:rPr>
      </w:pPr>
    </w:p>
    <w:p w14:paraId="56FE5FE4" w14:textId="77777777" w:rsidR="009237DC" w:rsidRPr="00473A6E" w:rsidRDefault="009237DC" w:rsidP="00473A6E">
      <w:pPr>
        <w:jc w:val="both"/>
        <w:rPr>
          <w:rFonts w:ascii="Arial Narrow" w:hAnsi="Arial Narrow"/>
        </w:rPr>
      </w:pPr>
      <w:r w:rsidRPr="00473A6E">
        <w:rPr>
          <w:rFonts w:ascii="Arial Narrow" w:hAnsi="Arial Narrow"/>
          <w:b/>
        </w:rPr>
        <w:t>Variable-rate investment</w:t>
      </w:r>
      <w:r w:rsidRPr="00473A6E">
        <w:rPr>
          <w:rFonts w:ascii="Arial Narrow" w:hAnsi="Arial Narrow"/>
        </w:rPr>
        <w:t xml:space="preserve"> - An investment with terms that provide for the adjustment of its interest rate on set dates (such as the last day of a month or calendar quarter) and that, upon each adjustment until the final maturity of the instrument or the period remaining until the principal amount can be recovered through demand, can reasonably be expected to have a fair value that will be unaffected by interest rate changes.</w:t>
      </w:r>
    </w:p>
    <w:p w14:paraId="77B1942D" w14:textId="77777777" w:rsidR="009237DC" w:rsidRPr="00473A6E" w:rsidRDefault="009237DC" w:rsidP="00473A6E">
      <w:pPr>
        <w:jc w:val="both"/>
        <w:rPr>
          <w:rFonts w:ascii="Arial Narrow" w:hAnsi="Arial Narrow"/>
        </w:rPr>
      </w:pPr>
    </w:p>
    <w:p w14:paraId="728E8731"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Volatility </w:t>
      </w:r>
      <w:r w:rsidRPr="00473A6E">
        <w:rPr>
          <w:rFonts w:ascii="Arial Narrow" w:hAnsi="Arial Narrow"/>
        </w:rPr>
        <w:t>- The relative impact of changing interest rates in general market conditions on an investment.</w:t>
      </w:r>
    </w:p>
    <w:p w14:paraId="60E564F3" w14:textId="77777777" w:rsidR="004E46A3" w:rsidRPr="00473A6E" w:rsidRDefault="004E46A3" w:rsidP="00473A6E">
      <w:pPr>
        <w:jc w:val="both"/>
        <w:rPr>
          <w:rFonts w:ascii="Arial Narrow" w:hAnsi="Arial Narrow"/>
        </w:rPr>
      </w:pPr>
    </w:p>
    <w:p w14:paraId="5B5EABBF"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Weighted Average Life (WAL) </w:t>
      </w:r>
      <w:r w:rsidRPr="00473A6E">
        <w:rPr>
          <w:rFonts w:ascii="Arial Narrow" w:hAnsi="Arial Narrow"/>
        </w:rPr>
        <w:t>- The average amount of time the principal balance of a mortgage pool is outstanding.</w:t>
      </w:r>
    </w:p>
    <w:p w14:paraId="59EFA6B0" w14:textId="77777777" w:rsidR="004E46A3" w:rsidRPr="00473A6E" w:rsidRDefault="004E46A3" w:rsidP="00473A6E">
      <w:pPr>
        <w:jc w:val="both"/>
        <w:rPr>
          <w:rFonts w:ascii="Arial Narrow" w:hAnsi="Arial Narrow"/>
        </w:rPr>
      </w:pPr>
    </w:p>
    <w:p w14:paraId="59DA81C8" w14:textId="77777777" w:rsidR="009237DC" w:rsidRPr="00473A6E" w:rsidRDefault="009237DC" w:rsidP="00473A6E">
      <w:pPr>
        <w:jc w:val="both"/>
        <w:rPr>
          <w:rFonts w:ascii="Arial Narrow" w:hAnsi="Arial Narrow"/>
        </w:rPr>
      </w:pPr>
      <w:r w:rsidRPr="00473A6E">
        <w:rPr>
          <w:rFonts w:ascii="Arial Narrow" w:hAnsi="Arial Narrow"/>
          <w:b/>
        </w:rPr>
        <w:t>Weighted average maturity</w:t>
      </w:r>
      <w:r w:rsidRPr="00473A6E">
        <w:rPr>
          <w:rFonts w:ascii="Arial Narrow" w:hAnsi="Arial Narrow"/>
        </w:rPr>
        <w:t xml:space="preserve"> - A weighted average maturity measure expresses investment time horizons—the time when investments become due and payable—in years or months, weighted to reflect the dollar size of individual investments within an investment type.</w:t>
      </w:r>
    </w:p>
    <w:p w14:paraId="2EB1B950" w14:textId="77777777" w:rsidR="009237DC" w:rsidRPr="00473A6E" w:rsidRDefault="009237DC" w:rsidP="00473A6E">
      <w:pPr>
        <w:jc w:val="both"/>
        <w:rPr>
          <w:rFonts w:ascii="Arial Narrow" w:hAnsi="Arial Narrow"/>
        </w:rPr>
      </w:pPr>
    </w:p>
    <w:p w14:paraId="731EFBDD"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Yield </w:t>
      </w:r>
      <w:r w:rsidRPr="00473A6E">
        <w:rPr>
          <w:rFonts w:ascii="Arial Narrow" w:hAnsi="Arial Narrow"/>
        </w:rPr>
        <w:t>- The annual return on an investment (from dividends or interest) expressed as a percentage of either cost or current price.</w:t>
      </w:r>
    </w:p>
    <w:p w14:paraId="06B14A45" w14:textId="77777777" w:rsidR="004E46A3" w:rsidRPr="00473A6E" w:rsidRDefault="004E46A3" w:rsidP="00473A6E">
      <w:pPr>
        <w:jc w:val="both"/>
        <w:rPr>
          <w:rFonts w:ascii="Arial Narrow" w:hAnsi="Arial Narrow"/>
        </w:rPr>
      </w:pPr>
    </w:p>
    <w:p w14:paraId="5A7AEBA4"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Yield to Maturity </w:t>
      </w:r>
      <w:r w:rsidRPr="00473A6E">
        <w:rPr>
          <w:rFonts w:ascii="Arial Narrow" w:hAnsi="Arial Narrow"/>
        </w:rPr>
        <w:t xml:space="preserve">- Refers to the yield of a bond also </w:t>
      </w:r>
      <w:proofErr w:type="gramStart"/>
      <w:r w:rsidRPr="00473A6E">
        <w:rPr>
          <w:rFonts w:ascii="Arial Narrow" w:hAnsi="Arial Narrow"/>
        </w:rPr>
        <w:t>taking into account</w:t>
      </w:r>
      <w:proofErr w:type="gramEnd"/>
      <w:r w:rsidRPr="00473A6E">
        <w:rPr>
          <w:rFonts w:ascii="Arial Narrow" w:hAnsi="Arial Narrow"/>
        </w:rPr>
        <w:t xml:space="preserve"> the premium or discount of the bond.</w:t>
      </w:r>
    </w:p>
    <w:p w14:paraId="38AEE3B8" w14:textId="77777777" w:rsidR="004E46A3" w:rsidRPr="00473A6E" w:rsidRDefault="004E46A3" w:rsidP="00473A6E">
      <w:pPr>
        <w:jc w:val="both"/>
        <w:rPr>
          <w:rFonts w:ascii="Arial Narrow" w:hAnsi="Arial Narrow"/>
        </w:rPr>
      </w:pPr>
    </w:p>
    <w:p w14:paraId="2862EE53" w14:textId="77777777" w:rsidR="004E46A3" w:rsidRPr="00473A6E" w:rsidRDefault="004E46A3" w:rsidP="00473A6E">
      <w:pPr>
        <w:jc w:val="both"/>
        <w:rPr>
          <w:rFonts w:ascii="Arial Narrow" w:hAnsi="Arial Narrow"/>
        </w:rPr>
      </w:pPr>
      <w:r w:rsidRPr="00473A6E">
        <w:rPr>
          <w:rFonts w:ascii="Arial Narrow" w:hAnsi="Arial Narrow"/>
          <w:b/>
        </w:rPr>
        <w:t xml:space="preserve">Z-Bond </w:t>
      </w:r>
      <w:r w:rsidRPr="00473A6E">
        <w:rPr>
          <w:rFonts w:ascii="Arial Narrow" w:hAnsi="Arial Narrow"/>
        </w:rPr>
        <w:t xml:space="preserve">- This tranche of a CMO is </w:t>
      </w:r>
      <w:proofErr w:type="gramStart"/>
      <w:r w:rsidRPr="00473A6E">
        <w:rPr>
          <w:rFonts w:ascii="Arial Narrow" w:hAnsi="Arial Narrow"/>
        </w:rPr>
        <w:t>similar to</w:t>
      </w:r>
      <w:proofErr w:type="gramEnd"/>
      <w:r w:rsidRPr="00473A6E">
        <w:rPr>
          <w:rFonts w:ascii="Arial Narrow" w:hAnsi="Arial Narrow"/>
        </w:rPr>
        <w:t xml:space="preserve"> a coupon bond.  Rather than receiving interest, it is reinvested at the coupon rate of the security.  Z-bonds are generally the last tranche in a pool of collateralized mortgage obligations. </w:t>
      </w:r>
    </w:p>
    <w:p w14:paraId="765DAFE1" w14:textId="77777777" w:rsidR="004E46A3" w:rsidRDefault="004E46A3">
      <w:pPr>
        <w:rPr>
          <w:rFonts w:ascii="Arial" w:hAnsi="Arial"/>
        </w:rPr>
      </w:pPr>
    </w:p>
    <w:sectPr w:rsidR="004E46A3" w:rsidSect="00366732">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2240" w:h="15840" w:code="1"/>
      <w:pgMar w:top="1170" w:right="1440" w:bottom="1260" w:left="1440" w:header="450" w:footer="72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9F278" w14:textId="77777777" w:rsidR="009541FF" w:rsidRDefault="009541FF">
      <w:r>
        <w:separator/>
      </w:r>
    </w:p>
  </w:endnote>
  <w:endnote w:type="continuationSeparator" w:id="0">
    <w:p w14:paraId="30831A6B" w14:textId="77777777" w:rsidR="009541FF" w:rsidRDefault="009541FF">
      <w:r>
        <w:continuationSeparator/>
      </w:r>
    </w:p>
  </w:endnote>
  <w:endnote w:type="continuationNotice" w:id="1">
    <w:p w14:paraId="0103CD74" w14:textId="77777777" w:rsidR="009541FF" w:rsidRDefault="00954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B5A07" w14:textId="6153BE50" w:rsidR="001E4382" w:rsidRDefault="002C7E22">
    <w:pPr>
      <w:pStyle w:val="Footer"/>
    </w:pPr>
    <w:r>
      <w:rPr>
        <w:noProof/>
      </w:rPr>
      <mc:AlternateContent>
        <mc:Choice Requires="wps">
          <w:drawing>
            <wp:anchor distT="0" distB="0" distL="0" distR="0" simplePos="0" relativeHeight="251658241" behindDoc="0" locked="0" layoutInCell="1" allowOverlap="1" wp14:anchorId="64B8DC4D" wp14:editId="36B26289">
              <wp:simplePos x="635" y="635"/>
              <wp:positionH relativeFrom="page">
                <wp:align>center</wp:align>
              </wp:positionH>
              <wp:positionV relativeFrom="page">
                <wp:align>bottom</wp:align>
              </wp:positionV>
              <wp:extent cx="1751965" cy="345440"/>
              <wp:effectExtent l="0" t="0" r="635" b="0"/>
              <wp:wrapNone/>
              <wp:docPr id="1073426095" name="Text Box 2" descr="RESTRICTED per N.C.G.S. § 126-2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51965" cy="345440"/>
                      </a:xfrm>
                      <a:prstGeom prst="rect">
                        <a:avLst/>
                      </a:prstGeom>
                      <a:noFill/>
                      <a:ln>
                        <a:noFill/>
                      </a:ln>
                    </wps:spPr>
                    <wps:txbx>
                      <w:txbxContent>
                        <w:p w14:paraId="0660827E" w14:textId="3F7ADD56" w:rsidR="002C7E22" w:rsidRPr="002C7E22" w:rsidRDefault="002C7E22" w:rsidP="002C7E22">
                          <w:pPr>
                            <w:rPr>
                              <w:rFonts w:ascii="Calibri" w:eastAsia="Calibri" w:hAnsi="Calibri" w:cs="Calibri"/>
                              <w:noProof/>
                              <w:color w:val="000000"/>
                            </w:rPr>
                          </w:pPr>
                          <w:r w:rsidRPr="002C7E22">
                            <w:rPr>
                              <w:rFonts w:ascii="Calibri" w:eastAsia="Calibri" w:hAnsi="Calibri" w:cs="Calibri"/>
                              <w:noProof/>
                              <w:color w:val="000000"/>
                            </w:rPr>
                            <w:t>RESTRICTED per N.C.G.S. § 126-22</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B8DC4D" id="_x0000_t202" coordsize="21600,21600" o:spt="202" path="m,l,21600r21600,l21600,xe">
              <v:stroke joinstyle="miter"/>
              <v:path gradientshapeok="t" o:connecttype="rect"/>
            </v:shapetype>
            <v:shape id="Text Box 2" o:spid="_x0000_s1026" type="#_x0000_t202" alt="RESTRICTED per N.C.G.S. § 126-22" style="position:absolute;margin-left:0;margin-top:0;width:137.95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" filled="f" stroked="f">
              <v:textbox style="mso-fit-shape-to-text:t" inset="0,0,0,15pt">
                <w:txbxContent>
                  <w:p w14:paraId="0660827E" w14:textId="3F7ADD56" w:rsidR="002C7E22" w:rsidRPr="002C7E22" w:rsidRDefault="002C7E22" w:rsidP="002C7E22">
                    <w:pPr>
                      <w:rPr>
                        <w:rFonts w:ascii="Calibri" w:eastAsia="Calibri" w:hAnsi="Calibri" w:cs="Calibri"/>
                        <w:noProof/>
                        <w:color w:val="000000"/>
                      </w:rPr>
                    </w:pPr>
                    <w:r w:rsidRPr="002C7E22">
                      <w:rPr>
                        <w:rFonts w:ascii="Calibri" w:eastAsia="Calibri" w:hAnsi="Calibri" w:cs="Calibri"/>
                        <w:noProof/>
                        <w:color w:val="000000"/>
                      </w:rPr>
                      <w:t>RESTRICTED per N.C.G.S. § 126-22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4ED3" w14:textId="2A9DDDAB" w:rsidR="004800FC" w:rsidRDefault="002C7E22">
    <w:pPr>
      <w:pStyle w:val="Footer"/>
      <w:jc w:val="center"/>
      <w:rPr>
        <w:rStyle w:val="PageNumber"/>
      </w:rPr>
    </w:pPr>
    <w:r>
      <w:rPr>
        <w:noProof/>
      </w:rPr>
      <mc:AlternateContent>
        <mc:Choice Requires="wps">
          <w:drawing>
            <wp:anchor distT="0" distB="0" distL="0" distR="0" simplePos="0" relativeHeight="251658242" behindDoc="0" locked="0" layoutInCell="1" allowOverlap="1" wp14:anchorId="054DB062" wp14:editId="7BEC6A14">
              <wp:simplePos x="914400" y="9163050"/>
              <wp:positionH relativeFrom="page">
                <wp:align>center</wp:align>
              </wp:positionH>
              <wp:positionV relativeFrom="page">
                <wp:align>bottom</wp:align>
              </wp:positionV>
              <wp:extent cx="1751965" cy="345440"/>
              <wp:effectExtent l="0" t="0" r="635" b="0"/>
              <wp:wrapNone/>
              <wp:docPr id="272117347" name="Text Box 3" descr="RESTRICTED per N.C.G.S. § 126-2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51965" cy="345440"/>
                      </a:xfrm>
                      <a:prstGeom prst="rect">
                        <a:avLst/>
                      </a:prstGeom>
                      <a:noFill/>
                      <a:ln>
                        <a:noFill/>
                      </a:ln>
                    </wps:spPr>
                    <wps:txbx>
                      <w:txbxContent>
                        <w:p w14:paraId="37D6881F" w14:textId="3C30D006" w:rsidR="002C7E22" w:rsidRPr="002C7E22" w:rsidRDefault="002C7E22" w:rsidP="002C7E22">
                          <w:pPr>
                            <w:rPr>
                              <w:rFonts w:ascii="Calibri" w:eastAsia="Calibri" w:hAnsi="Calibri" w:cs="Calibri"/>
                              <w:noProof/>
                              <w:color w:val="000000"/>
                            </w:rPr>
                          </w:pPr>
                          <w:r w:rsidRPr="002C7E22">
                            <w:rPr>
                              <w:rFonts w:ascii="Calibri" w:eastAsia="Calibri" w:hAnsi="Calibri" w:cs="Calibri"/>
                              <w:noProof/>
                              <w:color w:val="000000"/>
                            </w:rPr>
                            <w:t>RESTRICTED per N.C.G.S. § 126-22</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4DB062" id="_x0000_t202" coordsize="21600,21600" o:spt="202" path="m,l,21600r21600,l21600,xe">
              <v:stroke joinstyle="miter"/>
              <v:path gradientshapeok="t" o:connecttype="rect"/>
            </v:shapetype>
            <v:shape id="Text Box 3" o:spid="_x0000_s1027" type="#_x0000_t202" alt="RESTRICTED per N.C.G.S. § 126-22" style="position:absolute;left:0;text-align:left;margin-left:0;margin-top:0;width:137.95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" filled="f" stroked="f">
              <v:textbox style="mso-fit-shape-to-text:t" inset="0,0,0,15pt">
                <w:txbxContent>
                  <w:p w14:paraId="37D6881F" w14:textId="3C30D006" w:rsidR="002C7E22" w:rsidRPr="002C7E22" w:rsidRDefault="002C7E22" w:rsidP="002C7E22">
                    <w:pPr>
                      <w:rPr>
                        <w:rFonts w:ascii="Calibri" w:eastAsia="Calibri" w:hAnsi="Calibri" w:cs="Calibri"/>
                        <w:noProof/>
                        <w:color w:val="000000"/>
                      </w:rPr>
                    </w:pPr>
                    <w:r w:rsidRPr="002C7E22">
                      <w:rPr>
                        <w:rFonts w:ascii="Calibri" w:eastAsia="Calibri" w:hAnsi="Calibri" w:cs="Calibri"/>
                        <w:noProof/>
                        <w:color w:val="000000"/>
                      </w:rPr>
                      <w:t>RESTRICTED per N.C.G.S. § 126-22</w:t>
                    </w:r>
                  </w:p>
                </w:txbxContent>
              </v:textbox>
              <w10:wrap anchorx="page" anchory="page"/>
            </v:shape>
          </w:pict>
        </mc:Fallback>
      </mc:AlternateContent>
    </w:r>
    <w:r w:rsidR="004800FC">
      <w:t xml:space="preserve">Page </w:t>
    </w:r>
    <w:r w:rsidR="004800FC">
      <w:rPr>
        <w:rStyle w:val="PageNumber"/>
      </w:rPr>
      <w:fldChar w:fldCharType="begin"/>
    </w:r>
    <w:r w:rsidR="004800FC">
      <w:rPr>
        <w:rStyle w:val="PageNumber"/>
      </w:rPr>
      <w:instrText xml:space="preserve"> PAGE </w:instrText>
    </w:r>
    <w:r w:rsidR="004800FC">
      <w:rPr>
        <w:rStyle w:val="PageNumber"/>
      </w:rPr>
      <w:fldChar w:fldCharType="separate"/>
    </w:r>
    <w:r w:rsidR="004800FC">
      <w:rPr>
        <w:rStyle w:val="PageNumber"/>
        <w:noProof/>
      </w:rPr>
      <w:t>26</w:t>
    </w:r>
    <w:r w:rsidR="004800FC">
      <w:rPr>
        <w:rStyle w:val="PageNumber"/>
      </w:rPr>
      <w:fldChar w:fldCharType="end"/>
    </w:r>
  </w:p>
  <w:p w14:paraId="5F0DBCE2" w14:textId="241276FA" w:rsidR="004800FC" w:rsidRDefault="004800FC">
    <w:pPr>
      <w:pStyle w:val="Footer"/>
      <w:jc w:val="right"/>
    </w:pPr>
    <w:r>
      <w:rPr>
        <w:snapToGrid w:val="0"/>
      </w:rPr>
      <w:fldChar w:fldCharType="begin"/>
    </w:r>
    <w:r>
      <w:rPr>
        <w:snapToGrid w:val="0"/>
      </w:rPr>
      <w:instrText xml:space="preserve"> FILENAME </w:instrText>
    </w:r>
    <w:r>
      <w:rPr>
        <w:snapToGrid w:val="0"/>
      </w:rPr>
      <w:fldChar w:fldCharType="separate"/>
    </w:r>
    <w:r w:rsidR="00A10660">
      <w:rPr>
        <w:noProof/>
        <w:snapToGrid w:val="0"/>
      </w:rPr>
      <w:t>202</w:t>
    </w:r>
    <w:r w:rsidR="004F2DF2">
      <w:rPr>
        <w:noProof/>
        <w:snapToGrid w:val="0"/>
      </w:rPr>
      <w:t>5</w:t>
    </w:r>
    <w:r w:rsidR="00A10660">
      <w:rPr>
        <w:noProof/>
        <w:snapToGrid w:val="0"/>
      </w:rPr>
      <w:t>instructions</w:t>
    </w:r>
    <w:r>
      <w:rPr>
        <w:snapToGrid w:val="0"/>
      </w:rPr>
      <w:fldChar w:fldCharType="end"/>
    </w:r>
  </w:p>
  <w:p w14:paraId="2D1407D7" w14:textId="77777777" w:rsidR="004800FC" w:rsidRDefault="004800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58F2" w14:textId="3F937553" w:rsidR="001E4382" w:rsidRDefault="002C7E22">
    <w:pPr>
      <w:pStyle w:val="Footer"/>
    </w:pPr>
    <w:r>
      <w:rPr>
        <w:noProof/>
      </w:rPr>
      <mc:AlternateContent>
        <mc:Choice Requires="wps">
          <w:drawing>
            <wp:anchor distT="0" distB="0" distL="0" distR="0" simplePos="0" relativeHeight="251658240" behindDoc="0" locked="0" layoutInCell="1" allowOverlap="1" wp14:anchorId="1708D735" wp14:editId="473BD8D5">
              <wp:simplePos x="635" y="635"/>
              <wp:positionH relativeFrom="page">
                <wp:align>center</wp:align>
              </wp:positionH>
              <wp:positionV relativeFrom="page">
                <wp:align>bottom</wp:align>
              </wp:positionV>
              <wp:extent cx="1751965" cy="345440"/>
              <wp:effectExtent l="0" t="0" r="635" b="0"/>
              <wp:wrapNone/>
              <wp:docPr id="870549184" name="Text Box 1" descr="RESTRICTED per N.C.G.S. § 126-2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51965" cy="345440"/>
                      </a:xfrm>
                      <a:prstGeom prst="rect">
                        <a:avLst/>
                      </a:prstGeom>
                      <a:noFill/>
                      <a:ln>
                        <a:noFill/>
                      </a:ln>
                    </wps:spPr>
                    <wps:txbx>
                      <w:txbxContent>
                        <w:p w14:paraId="78E0B39C" w14:textId="5F575B36" w:rsidR="002C7E22" w:rsidRPr="002C7E22" w:rsidRDefault="002C7E22" w:rsidP="002C7E22">
                          <w:pPr>
                            <w:rPr>
                              <w:rFonts w:ascii="Calibri" w:eastAsia="Calibri" w:hAnsi="Calibri" w:cs="Calibri"/>
                              <w:noProof/>
                              <w:color w:val="000000"/>
                            </w:rPr>
                          </w:pPr>
                          <w:r w:rsidRPr="002C7E22">
                            <w:rPr>
                              <w:rFonts w:ascii="Calibri" w:eastAsia="Calibri" w:hAnsi="Calibri" w:cs="Calibri"/>
                              <w:noProof/>
                              <w:color w:val="000000"/>
                            </w:rPr>
                            <w:t>RESTRICTED per N.C.G.S. § 126-22</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08D735" id="_x0000_t202" coordsize="21600,21600" o:spt="202" path="m,l,21600r21600,l21600,xe">
              <v:stroke joinstyle="miter"/>
              <v:path gradientshapeok="t" o:connecttype="rect"/>
            </v:shapetype>
            <v:shape id="Text Box 1" o:spid="_x0000_s1028" type="#_x0000_t202" alt="RESTRICTED per N.C.G.S. § 126-22" style="position:absolute;margin-left:0;margin-top:0;width:137.9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" filled="f" stroked="f">
              <v:textbox style="mso-fit-shape-to-text:t" inset="0,0,0,15pt">
                <w:txbxContent>
                  <w:p w14:paraId="78E0B39C" w14:textId="5F575B36" w:rsidR="002C7E22" w:rsidRPr="002C7E22" w:rsidRDefault="002C7E22" w:rsidP="002C7E22">
                    <w:pPr>
                      <w:rPr>
                        <w:rFonts w:ascii="Calibri" w:eastAsia="Calibri" w:hAnsi="Calibri" w:cs="Calibri"/>
                        <w:noProof/>
                        <w:color w:val="000000"/>
                      </w:rPr>
                    </w:pPr>
                    <w:r w:rsidRPr="002C7E22">
                      <w:rPr>
                        <w:rFonts w:ascii="Calibri" w:eastAsia="Calibri" w:hAnsi="Calibri" w:cs="Calibri"/>
                        <w:noProof/>
                        <w:color w:val="000000"/>
                      </w:rPr>
                      <w:t>RESTRICTED per N.C.G.S. § 126-22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E0711" w14:textId="77777777" w:rsidR="009541FF" w:rsidRDefault="009541FF">
      <w:r>
        <w:separator/>
      </w:r>
    </w:p>
  </w:footnote>
  <w:footnote w:type="continuationSeparator" w:id="0">
    <w:p w14:paraId="77524F16" w14:textId="77777777" w:rsidR="009541FF" w:rsidRDefault="009541FF">
      <w:r>
        <w:continuationSeparator/>
      </w:r>
    </w:p>
  </w:footnote>
  <w:footnote w:type="continuationNotice" w:id="1">
    <w:p w14:paraId="3E2CEA81" w14:textId="77777777" w:rsidR="009541FF" w:rsidRDefault="00954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74F64" w14:textId="77777777" w:rsidR="001E4382" w:rsidRDefault="001E4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49EA3" w14:textId="77777777" w:rsidR="004800FC" w:rsidRDefault="004800FC">
    <w:pPr>
      <w:pStyle w:val="Header"/>
      <w:jc w:val="center"/>
      <w:rPr>
        <w:b/>
        <w:sz w:val="24"/>
      </w:rPr>
    </w:pPr>
    <w:r>
      <w:rPr>
        <w:b/>
        <w:sz w:val="24"/>
      </w:rPr>
      <w:t>OFFICE OF THE STATE CONTROLLER</w:t>
    </w:r>
  </w:p>
  <w:p w14:paraId="01E6D61E" w14:textId="6D5DE8E7" w:rsidR="004800FC" w:rsidRPr="00523271" w:rsidRDefault="004800FC" w:rsidP="00B20A58">
    <w:pPr>
      <w:pStyle w:val="Header"/>
      <w:jc w:val="center"/>
      <w:rPr>
        <w:b/>
        <w:sz w:val="24"/>
      </w:rPr>
    </w:pPr>
    <w:r>
      <w:rPr>
        <w:b/>
        <w:sz w:val="24"/>
      </w:rPr>
      <w:t>202</w:t>
    </w:r>
    <w:r w:rsidR="004F2DF2">
      <w:rPr>
        <w:b/>
        <w:sz w:val="24"/>
      </w:rPr>
      <w:t>5</w:t>
    </w:r>
    <w:r>
      <w:rPr>
        <w:b/>
        <w:sz w:val="24"/>
      </w:rPr>
      <w:t xml:space="preserve"> </w:t>
    </w:r>
    <w:r w:rsidR="001E4382">
      <w:rPr>
        <w:b/>
        <w:sz w:val="24"/>
      </w:rPr>
      <w:t xml:space="preserve">ANNUAL </w:t>
    </w:r>
    <w:r>
      <w:rPr>
        <w:b/>
        <w:sz w:val="24"/>
      </w:rPr>
      <w:t>COMPREHENSIVE FINANCIAL REPORT (</w:t>
    </w:r>
    <w:r w:rsidR="001E4382">
      <w:rPr>
        <w:b/>
        <w:sz w:val="24"/>
      </w:rPr>
      <w:t>ACFR</w:t>
    </w:r>
    <w:r>
      <w:rPr>
        <w:b/>
        <w:sz w:val="24"/>
      </w:rPr>
      <w:t xml:space="preserve">) WORKSHEET INSTRUCTIONS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814A" w14:textId="77777777" w:rsidR="001E4382" w:rsidRDefault="001E438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9yxxQmn" int2:invalidationBookmarkName="" int2:hashCode="ETajgD6SEplKjI" int2:id="X7q8pDxy">
      <int2:state int2:value="Rejected" int2:type="AugLoop_Text_Critique"/>
    </int2:bookmark>
    <int2:bookmark int2:bookmarkName="_Int_P82dnJsj" int2:invalidationBookmarkName="" int2:hashCode="ASJrdB1QOvt7IS" int2:id="Xc4TUq1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940" w:hanging="360"/>
      </w:pPr>
      <w:rPr>
        <w:rFonts w:ascii="Arial" w:hAnsi="Arial" w:cs="Arial"/>
        <w:b w:val="0"/>
        <w:bCs w:val="0"/>
        <w:spacing w:val="-1"/>
        <w:w w:val="100"/>
        <w:sz w:val="22"/>
        <w:szCs w:val="22"/>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1" w15:restartNumberingAfterBreak="0">
    <w:nsid w:val="0BFB4DA4"/>
    <w:multiLevelType w:val="singleLevel"/>
    <w:tmpl w:val="A7C6FB4C"/>
    <w:lvl w:ilvl="0">
      <w:start w:val="3"/>
      <w:numFmt w:val="decimal"/>
      <w:lvlText w:val="(%1)"/>
      <w:lvlJc w:val="left"/>
      <w:pPr>
        <w:tabs>
          <w:tab w:val="num" w:pos="435"/>
        </w:tabs>
        <w:ind w:left="435" w:hanging="435"/>
      </w:pPr>
      <w:rPr>
        <w:rFonts w:hint="default"/>
      </w:rPr>
    </w:lvl>
  </w:abstractNum>
  <w:abstractNum w:abstractNumId="2" w15:restartNumberingAfterBreak="0">
    <w:nsid w:val="0C8A34B3"/>
    <w:multiLevelType w:val="hybridMultilevel"/>
    <w:tmpl w:val="CA58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A3A58"/>
    <w:multiLevelType w:val="singleLevel"/>
    <w:tmpl w:val="13608BB4"/>
    <w:lvl w:ilvl="0">
      <w:start w:val="1"/>
      <w:numFmt w:val="decimal"/>
      <w:lvlText w:val="%1."/>
      <w:lvlJc w:val="left"/>
      <w:pPr>
        <w:tabs>
          <w:tab w:val="num" w:pos="615"/>
        </w:tabs>
        <w:ind w:left="615" w:hanging="375"/>
      </w:pPr>
      <w:rPr>
        <w:rFonts w:hint="default"/>
        <w:b/>
      </w:rPr>
    </w:lvl>
  </w:abstractNum>
  <w:abstractNum w:abstractNumId="4" w15:restartNumberingAfterBreak="0">
    <w:nsid w:val="0E271D75"/>
    <w:multiLevelType w:val="hybridMultilevel"/>
    <w:tmpl w:val="8DB4A5B4"/>
    <w:lvl w:ilvl="0" w:tplc="098A34A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D6B1E"/>
    <w:multiLevelType w:val="singleLevel"/>
    <w:tmpl w:val="7996D638"/>
    <w:lvl w:ilvl="0">
      <w:start w:val="480"/>
      <w:numFmt w:val="decimal"/>
      <w:lvlText w:val="%1"/>
      <w:lvlJc w:val="left"/>
      <w:pPr>
        <w:tabs>
          <w:tab w:val="num" w:pos="720"/>
        </w:tabs>
        <w:ind w:left="720" w:hanging="720"/>
      </w:pPr>
      <w:rPr>
        <w:rFonts w:hint="default"/>
      </w:rPr>
    </w:lvl>
  </w:abstractNum>
  <w:abstractNum w:abstractNumId="6" w15:restartNumberingAfterBreak="0">
    <w:nsid w:val="127B3705"/>
    <w:multiLevelType w:val="hybridMultilevel"/>
    <w:tmpl w:val="D29C6C98"/>
    <w:lvl w:ilvl="0" w:tplc="9EB035E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821906"/>
    <w:multiLevelType w:val="hybridMultilevel"/>
    <w:tmpl w:val="71C2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73F22"/>
    <w:multiLevelType w:val="hybridMultilevel"/>
    <w:tmpl w:val="1AC2F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213BF"/>
    <w:multiLevelType w:val="hybridMultilevel"/>
    <w:tmpl w:val="901C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B61FD"/>
    <w:multiLevelType w:val="singleLevel"/>
    <w:tmpl w:val="CF06D036"/>
    <w:lvl w:ilvl="0">
      <w:start w:val="48"/>
      <w:numFmt w:val="decimal"/>
      <w:lvlText w:val="%1"/>
      <w:lvlJc w:val="left"/>
      <w:pPr>
        <w:tabs>
          <w:tab w:val="num" w:pos="360"/>
        </w:tabs>
        <w:ind w:left="360" w:hanging="360"/>
      </w:pPr>
      <w:rPr>
        <w:rFonts w:hint="default"/>
      </w:rPr>
    </w:lvl>
  </w:abstractNum>
  <w:abstractNum w:abstractNumId="11" w15:restartNumberingAfterBreak="0">
    <w:nsid w:val="1FD970D5"/>
    <w:multiLevelType w:val="hybridMultilevel"/>
    <w:tmpl w:val="AA92285C"/>
    <w:lvl w:ilvl="0" w:tplc="3FD66E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822B8"/>
    <w:multiLevelType w:val="singleLevel"/>
    <w:tmpl w:val="38604432"/>
    <w:lvl w:ilvl="0">
      <w:start w:val="2"/>
      <w:numFmt w:val="decimal"/>
      <w:lvlText w:val="%1. "/>
      <w:legacy w:legacy="1" w:legacySpace="0" w:legacyIndent="360"/>
      <w:lvlJc w:val="left"/>
      <w:pPr>
        <w:ind w:left="360" w:hanging="360"/>
      </w:pPr>
      <w:rPr>
        <w:b w:val="0"/>
        <w:i w:val="0"/>
        <w:sz w:val="24"/>
      </w:rPr>
    </w:lvl>
  </w:abstractNum>
  <w:abstractNum w:abstractNumId="13" w15:restartNumberingAfterBreak="0">
    <w:nsid w:val="278965FF"/>
    <w:multiLevelType w:val="hybridMultilevel"/>
    <w:tmpl w:val="5AE80C90"/>
    <w:lvl w:ilvl="0" w:tplc="098A34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D0970"/>
    <w:multiLevelType w:val="hybridMultilevel"/>
    <w:tmpl w:val="F7BEC0E2"/>
    <w:lvl w:ilvl="0" w:tplc="1C789D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C61374"/>
    <w:multiLevelType w:val="hybridMultilevel"/>
    <w:tmpl w:val="E4C6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13798"/>
    <w:multiLevelType w:val="hybridMultilevel"/>
    <w:tmpl w:val="083090D4"/>
    <w:lvl w:ilvl="0" w:tplc="098A34A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80C742D"/>
    <w:multiLevelType w:val="hybridMultilevel"/>
    <w:tmpl w:val="CFC43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575F7"/>
    <w:multiLevelType w:val="singleLevel"/>
    <w:tmpl w:val="8892AE2A"/>
    <w:lvl w:ilvl="0">
      <w:start w:val="1"/>
      <w:numFmt w:val="decimal"/>
      <w:lvlText w:val="(%1)"/>
      <w:lvlJc w:val="left"/>
      <w:pPr>
        <w:tabs>
          <w:tab w:val="num" w:pos="705"/>
        </w:tabs>
        <w:ind w:left="705" w:hanging="360"/>
      </w:pPr>
      <w:rPr>
        <w:rFonts w:hint="default"/>
      </w:rPr>
    </w:lvl>
  </w:abstractNum>
  <w:abstractNum w:abstractNumId="19" w15:restartNumberingAfterBreak="0">
    <w:nsid w:val="3C901B2D"/>
    <w:multiLevelType w:val="hybridMultilevel"/>
    <w:tmpl w:val="854A0E8C"/>
    <w:lvl w:ilvl="0" w:tplc="BD82AE20">
      <w:numFmt w:val="bullet"/>
      <w:lvlText w:val="-"/>
      <w:lvlJc w:val="left"/>
      <w:pPr>
        <w:ind w:left="420" w:hanging="360"/>
      </w:pPr>
      <w:rPr>
        <w:rFonts w:ascii="Helv" w:eastAsia="Times New Roman" w:hAnsi="Helv"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3EAC082B"/>
    <w:multiLevelType w:val="hybridMultilevel"/>
    <w:tmpl w:val="3F982F7A"/>
    <w:lvl w:ilvl="0" w:tplc="63066294">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342D52"/>
    <w:multiLevelType w:val="singleLevel"/>
    <w:tmpl w:val="A72813B8"/>
    <w:lvl w:ilvl="0">
      <w:start w:val="5"/>
      <w:numFmt w:val="decimal"/>
      <w:lvlText w:val="%1. "/>
      <w:legacy w:legacy="1" w:legacySpace="0" w:legacyIndent="360"/>
      <w:lvlJc w:val="left"/>
      <w:pPr>
        <w:ind w:left="360" w:hanging="360"/>
      </w:pPr>
      <w:rPr>
        <w:b w:val="0"/>
        <w:i w:val="0"/>
        <w:sz w:val="24"/>
      </w:rPr>
    </w:lvl>
  </w:abstractNum>
  <w:abstractNum w:abstractNumId="22" w15:restartNumberingAfterBreak="0">
    <w:nsid w:val="45D07DAE"/>
    <w:multiLevelType w:val="hybridMultilevel"/>
    <w:tmpl w:val="9AECD0A0"/>
    <w:lvl w:ilvl="0" w:tplc="6C0C996C">
      <w:start w:val="1"/>
      <w:numFmt w:val="bullet"/>
      <w:lvlText w:val=""/>
      <w:lvlJc w:val="left"/>
      <w:pPr>
        <w:tabs>
          <w:tab w:val="num" w:pos="234"/>
        </w:tabs>
        <w:ind w:left="234" w:hanging="234"/>
      </w:pPr>
      <w:rPr>
        <w:rFonts w:ascii="Wingdings" w:hAnsi="Wingdings" w:hint="default"/>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270"/>
        </w:tabs>
        <w:ind w:left="-270" w:hanging="360"/>
      </w:pPr>
      <w:rPr>
        <w:rFonts w:ascii="Wingdings" w:hAnsi="Wingdings" w:hint="default"/>
      </w:rPr>
    </w:lvl>
    <w:lvl w:ilvl="3" w:tplc="04090001" w:tentative="1">
      <w:start w:val="1"/>
      <w:numFmt w:val="bullet"/>
      <w:lvlText w:val=""/>
      <w:lvlJc w:val="left"/>
      <w:pPr>
        <w:tabs>
          <w:tab w:val="num" w:pos="450"/>
        </w:tabs>
        <w:ind w:left="450" w:hanging="360"/>
      </w:pPr>
      <w:rPr>
        <w:rFonts w:ascii="Symbol" w:hAnsi="Symbol" w:hint="default"/>
      </w:rPr>
    </w:lvl>
    <w:lvl w:ilvl="4" w:tplc="04090003" w:tentative="1">
      <w:start w:val="1"/>
      <w:numFmt w:val="bullet"/>
      <w:lvlText w:val="o"/>
      <w:lvlJc w:val="left"/>
      <w:pPr>
        <w:tabs>
          <w:tab w:val="num" w:pos="1170"/>
        </w:tabs>
        <w:ind w:left="117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2610"/>
        </w:tabs>
        <w:ind w:left="2610" w:hanging="360"/>
      </w:pPr>
      <w:rPr>
        <w:rFonts w:ascii="Symbol" w:hAnsi="Symbol" w:hint="default"/>
      </w:rPr>
    </w:lvl>
    <w:lvl w:ilvl="7" w:tplc="04090003" w:tentative="1">
      <w:start w:val="1"/>
      <w:numFmt w:val="bullet"/>
      <w:lvlText w:val="o"/>
      <w:lvlJc w:val="left"/>
      <w:pPr>
        <w:tabs>
          <w:tab w:val="num" w:pos="3330"/>
        </w:tabs>
        <w:ind w:left="3330" w:hanging="360"/>
      </w:pPr>
      <w:rPr>
        <w:rFonts w:ascii="Courier New" w:hAnsi="Courier New" w:cs="Courier New" w:hint="default"/>
      </w:rPr>
    </w:lvl>
    <w:lvl w:ilvl="8" w:tplc="04090005" w:tentative="1">
      <w:start w:val="1"/>
      <w:numFmt w:val="bullet"/>
      <w:lvlText w:val=""/>
      <w:lvlJc w:val="left"/>
      <w:pPr>
        <w:tabs>
          <w:tab w:val="num" w:pos="4050"/>
        </w:tabs>
        <w:ind w:left="4050" w:hanging="360"/>
      </w:pPr>
      <w:rPr>
        <w:rFonts w:ascii="Wingdings" w:hAnsi="Wingdings" w:hint="default"/>
      </w:rPr>
    </w:lvl>
  </w:abstractNum>
  <w:abstractNum w:abstractNumId="23" w15:restartNumberingAfterBreak="0">
    <w:nsid w:val="467705A2"/>
    <w:multiLevelType w:val="hybridMultilevel"/>
    <w:tmpl w:val="879C05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F5876"/>
    <w:multiLevelType w:val="singleLevel"/>
    <w:tmpl w:val="E27E7D7A"/>
    <w:lvl w:ilvl="0">
      <w:start w:val="2"/>
      <w:numFmt w:val="lowerLetter"/>
      <w:lvlText w:val="(%1)"/>
      <w:lvlJc w:val="left"/>
      <w:pPr>
        <w:tabs>
          <w:tab w:val="num" w:pos="645"/>
        </w:tabs>
        <w:ind w:left="645" w:hanging="405"/>
      </w:pPr>
      <w:rPr>
        <w:rFonts w:hint="default"/>
      </w:rPr>
    </w:lvl>
  </w:abstractNum>
  <w:abstractNum w:abstractNumId="25" w15:restartNumberingAfterBreak="0">
    <w:nsid w:val="50715833"/>
    <w:multiLevelType w:val="hybridMultilevel"/>
    <w:tmpl w:val="AE06BFA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D93FBF"/>
    <w:multiLevelType w:val="hybridMultilevel"/>
    <w:tmpl w:val="630E94BC"/>
    <w:lvl w:ilvl="0" w:tplc="098A34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A01C31"/>
    <w:multiLevelType w:val="hybridMultilevel"/>
    <w:tmpl w:val="5006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36511"/>
    <w:multiLevelType w:val="hybridMultilevel"/>
    <w:tmpl w:val="F640935E"/>
    <w:lvl w:ilvl="0" w:tplc="098A34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B218C"/>
    <w:multiLevelType w:val="hybridMultilevel"/>
    <w:tmpl w:val="D8A6F52E"/>
    <w:lvl w:ilvl="0" w:tplc="B360EA52">
      <w:numFmt w:val="bullet"/>
      <w:lvlText w:val="-"/>
      <w:lvlJc w:val="left"/>
      <w:pPr>
        <w:ind w:left="420" w:hanging="360"/>
      </w:pPr>
      <w:rPr>
        <w:rFonts w:ascii="Helv" w:eastAsia="Times New Roman" w:hAnsi="Helv"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610000C8"/>
    <w:multiLevelType w:val="hybridMultilevel"/>
    <w:tmpl w:val="484AC2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5802F1E"/>
    <w:multiLevelType w:val="hybridMultilevel"/>
    <w:tmpl w:val="B5D2E84A"/>
    <w:lvl w:ilvl="0" w:tplc="0E1C8652">
      <w:start w:val="1"/>
      <w:numFmt w:val="bullet"/>
      <w:lvlText w:val=""/>
      <w:lvlJc w:val="left"/>
      <w:pPr>
        <w:tabs>
          <w:tab w:val="num" w:pos="288"/>
        </w:tabs>
        <w:ind w:left="720" w:hanging="72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492EAC"/>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FD330AE"/>
    <w:multiLevelType w:val="singleLevel"/>
    <w:tmpl w:val="69D0BEDC"/>
    <w:lvl w:ilvl="0">
      <w:numFmt w:val="bullet"/>
      <w:lvlText w:val=""/>
      <w:lvlJc w:val="left"/>
      <w:pPr>
        <w:tabs>
          <w:tab w:val="num" w:pos="360"/>
        </w:tabs>
        <w:ind w:left="360" w:hanging="360"/>
      </w:pPr>
      <w:rPr>
        <w:rFonts w:ascii="Symbol" w:hAnsi="Symbol" w:hint="default"/>
      </w:rPr>
    </w:lvl>
  </w:abstractNum>
  <w:abstractNum w:abstractNumId="34" w15:restartNumberingAfterBreak="0">
    <w:nsid w:val="6FEF6A58"/>
    <w:multiLevelType w:val="hybridMultilevel"/>
    <w:tmpl w:val="CD68A2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09C5FF6"/>
    <w:multiLevelType w:val="singleLevel"/>
    <w:tmpl w:val="7CA2CB88"/>
    <w:lvl w:ilvl="0">
      <w:start w:val="48"/>
      <w:numFmt w:val="decimal"/>
      <w:lvlText w:val="%1"/>
      <w:lvlJc w:val="left"/>
      <w:pPr>
        <w:tabs>
          <w:tab w:val="num" w:pos="360"/>
        </w:tabs>
        <w:ind w:left="360" w:hanging="360"/>
      </w:pPr>
      <w:rPr>
        <w:rFonts w:hint="default"/>
      </w:rPr>
    </w:lvl>
  </w:abstractNum>
  <w:abstractNum w:abstractNumId="36" w15:restartNumberingAfterBreak="0">
    <w:nsid w:val="724B7562"/>
    <w:multiLevelType w:val="singleLevel"/>
    <w:tmpl w:val="236437B4"/>
    <w:lvl w:ilvl="0">
      <w:start w:val="2627"/>
      <w:numFmt w:val="decimal"/>
      <w:lvlText w:val="%1"/>
      <w:lvlJc w:val="left"/>
      <w:pPr>
        <w:tabs>
          <w:tab w:val="num" w:pos="1440"/>
        </w:tabs>
        <w:ind w:left="1440" w:hanging="720"/>
      </w:pPr>
      <w:rPr>
        <w:rFonts w:hint="default"/>
      </w:rPr>
    </w:lvl>
  </w:abstractNum>
  <w:abstractNum w:abstractNumId="37" w15:restartNumberingAfterBreak="0">
    <w:nsid w:val="737C2BF0"/>
    <w:multiLevelType w:val="hybridMultilevel"/>
    <w:tmpl w:val="867CC6F8"/>
    <w:lvl w:ilvl="0" w:tplc="098A34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B77286"/>
    <w:multiLevelType w:val="hybridMultilevel"/>
    <w:tmpl w:val="A498D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45B1D8A"/>
    <w:multiLevelType w:val="hybridMultilevel"/>
    <w:tmpl w:val="0570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61186"/>
    <w:multiLevelType w:val="hybridMultilevel"/>
    <w:tmpl w:val="0CBCE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C9521B1"/>
    <w:multiLevelType w:val="hybridMultilevel"/>
    <w:tmpl w:val="1CE620F4"/>
    <w:lvl w:ilvl="0" w:tplc="04090001">
      <w:start w:val="1"/>
      <w:numFmt w:val="bullet"/>
      <w:lvlText w:val=""/>
      <w:lvlJc w:val="left"/>
      <w:pPr>
        <w:ind w:left="720" w:hanging="360"/>
      </w:pPr>
      <w:rPr>
        <w:rFonts w:ascii="Symbol" w:hAnsi="Symbol" w:hint="default"/>
      </w:rPr>
    </w:lvl>
    <w:lvl w:ilvl="1" w:tplc="A924701C">
      <w:start w:val="1"/>
      <w:numFmt w:val="bullet"/>
      <w:lvlText w:val=""/>
      <w:lvlJc w:val="left"/>
      <w:pPr>
        <w:ind w:left="1440" w:hanging="360"/>
      </w:pPr>
      <w:rPr>
        <w:rFonts w:ascii="Symbol" w:hAnsi="Symbol" w:hint="default"/>
      </w:rPr>
    </w:lvl>
    <w:lvl w:ilvl="2" w:tplc="A924701C">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C5726E"/>
    <w:multiLevelType w:val="singleLevel"/>
    <w:tmpl w:val="7BD4F798"/>
    <w:lvl w:ilvl="0">
      <w:numFmt w:val="bullet"/>
      <w:lvlText w:val="-"/>
      <w:lvlJc w:val="left"/>
      <w:pPr>
        <w:tabs>
          <w:tab w:val="num" w:pos="1080"/>
        </w:tabs>
        <w:ind w:left="1080" w:hanging="360"/>
      </w:pPr>
      <w:rPr>
        <w:rFonts w:ascii="Times New Roman" w:hAnsi="Times New Roman" w:hint="default"/>
      </w:rPr>
    </w:lvl>
  </w:abstractNum>
  <w:abstractNum w:abstractNumId="43" w15:restartNumberingAfterBreak="0">
    <w:nsid w:val="7F24530D"/>
    <w:multiLevelType w:val="hybridMultilevel"/>
    <w:tmpl w:val="C41E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65154"/>
    <w:multiLevelType w:val="multilevel"/>
    <w:tmpl w:val="AA5030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95888607">
    <w:abstractNumId w:val="36"/>
  </w:num>
  <w:num w:numId="2" w16cid:durableId="833299718">
    <w:abstractNumId w:val="5"/>
  </w:num>
  <w:num w:numId="3" w16cid:durableId="2145541266">
    <w:abstractNumId w:val="35"/>
  </w:num>
  <w:num w:numId="4" w16cid:durableId="118886576">
    <w:abstractNumId w:val="12"/>
  </w:num>
  <w:num w:numId="5" w16cid:durableId="117527849">
    <w:abstractNumId w:val="12"/>
    <w:lvlOverride w:ilvl="0">
      <w:lvl w:ilvl="0">
        <w:start w:val="1"/>
        <w:numFmt w:val="decimal"/>
        <w:lvlText w:val="%1. "/>
        <w:legacy w:legacy="1" w:legacySpace="0" w:legacyIndent="360"/>
        <w:lvlJc w:val="left"/>
        <w:pPr>
          <w:ind w:left="360" w:hanging="360"/>
        </w:pPr>
        <w:rPr>
          <w:b w:val="0"/>
          <w:i w:val="0"/>
          <w:sz w:val="24"/>
        </w:rPr>
      </w:lvl>
    </w:lvlOverride>
  </w:num>
  <w:num w:numId="6" w16cid:durableId="322314552">
    <w:abstractNumId w:val="21"/>
  </w:num>
  <w:num w:numId="7" w16cid:durableId="259727129">
    <w:abstractNumId w:val="21"/>
    <w:lvlOverride w:ilvl="0">
      <w:lvl w:ilvl="0">
        <w:start w:val="1"/>
        <w:numFmt w:val="decimal"/>
        <w:lvlText w:val="%1. "/>
        <w:legacy w:legacy="1" w:legacySpace="0" w:legacyIndent="360"/>
        <w:lvlJc w:val="left"/>
        <w:pPr>
          <w:ind w:left="360" w:hanging="360"/>
        </w:pPr>
        <w:rPr>
          <w:b w:val="0"/>
          <w:i w:val="0"/>
          <w:sz w:val="24"/>
        </w:rPr>
      </w:lvl>
    </w:lvlOverride>
  </w:num>
  <w:num w:numId="8" w16cid:durableId="723524458">
    <w:abstractNumId w:val="33"/>
  </w:num>
  <w:num w:numId="9" w16cid:durableId="1731224471">
    <w:abstractNumId w:val="42"/>
  </w:num>
  <w:num w:numId="10" w16cid:durableId="1709723361">
    <w:abstractNumId w:val="18"/>
  </w:num>
  <w:num w:numId="11" w16cid:durableId="334571143">
    <w:abstractNumId w:val="24"/>
  </w:num>
  <w:num w:numId="12" w16cid:durableId="1571034641">
    <w:abstractNumId w:val="3"/>
  </w:num>
  <w:num w:numId="13" w16cid:durableId="2013482371">
    <w:abstractNumId w:val="32"/>
  </w:num>
  <w:num w:numId="14" w16cid:durableId="953096254">
    <w:abstractNumId w:val="1"/>
  </w:num>
  <w:num w:numId="15" w16cid:durableId="908423985">
    <w:abstractNumId w:val="10"/>
  </w:num>
  <w:num w:numId="16" w16cid:durableId="599024251">
    <w:abstractNumId w:val="22"/>
  </w:num>
  <w:num w:numId="17" w16cid:durableId="1170170422">
    <w:abstractNumId w:val="4"/>
  </w:num>
  <w:num w:numId="18" w16cid:durableId="1961379051">
    <w:abstractNumId w:val="20"/>
  </w:num>
  <w:num w:numId="19" w16cid:durableId="1158497885">
    <w:abstractNumId w:val="6"/>
  </w:num>
  <w:num w:numId="20" w16cid:durableId="1247492938">
    <w:abstractNumId w:val="14"/>
  </w:num>
  <w:num w:numId="21" w16cid:durableId="942423875">
    <w:abstractNumId w:val="16"/>
  </w:num>
  <w:num w:numId="22" w16cid:durableId="848449583">
    <w:abstractNumId w:val="31"/>
  </w:num>
  <w:num w:numId="23" w16cid:durableId="1760561353">
    <w:abstractNumId w:val="39"/>
  </w:num>
  <w:num w:numId="24" w16cid:durableId="3455246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533787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53390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8386627">
    <w:abstractNumId w:val="23"/>
  </w:num>
  <w:num w:numId="28" w16cid:durableId="1291281894">
    <w:abstractNumId w:val="41"/>
  </w:num>
  <w:num w:numId="29" w16cid:durableId="1278104441">
    <w:abstractNumId w:val="26"/>
  </w:num>
  <w:num w:numId="30" w16cid:durableId="423570575">
    <w:abstractNumId w:val="28"/>
  </w:num>
  <w:num w:numId="31" w16cid:durableId="350649084">
    <w:abstractNumId w:val="37"/>
  </w:num>
  <w:num w:numId="32" w16cid:durableId="1389264318">
    <w:abstractNumId w:val="19"/>
  </w:num>
  <w:num w:numId="33" w16cid:durableId="707339315">
    <w:abstractNumId w:val="29"/>
  </w:num>
  <w:num w:numId="34" w16cid:durableId="839270984">
    <w:abstractNumId w:val="17"/>
  </w:num>
  <w:num w:numId="35" w16cid:durableId="2014067605">
    <w:abstractNumId w:val="13"/>
  </w:num>
  <w:num w:numId="36" w16cid:durableId="11304513">
    <w:abstractNumId w:val="2"/>
  </w:num>
  <w:num w:numId="37" w16cid:durableId="883370449">
    <w:abstractNumId w:val="7"/>
  </w:num>
  <w:num w:numId="38" w16cid:durableId="1047754960">
    <w:abstractNumId w:val="43"/>
  </w:num>
  <w:num w:numId="39" w16cid:durableId="1132015787">
    <w:abstractNumId w:val="11"/>
  </w:num>
  <w:num w:numId="40" w16cid:durableId="1267343598">
    <w:abstractNumId w:val="40"/>
  </w:num>
  <w:num w:numId="41" w16cid:durableId="225530006">
    <w:abstractNumId w:val="25"/>
  </w:num>
  <w:num w:numId="42" w16cid:durableId="400561193">
    <w:abstractNumId w:val="0"/>
    <w:lvlOverride w:ilvl="0">
      <w:startOverride w:val="1"/>
    </w:lvlOverride>
    <w:lvlOverride w:ilvl="1"/>
    <w:lvlOverride w:ilvl="2"/>
    <w:lvlOverride w:ilvl="3"/>
    <w:lvlOverride w:ilvl="4"/>
    <w:lvlOverride w:ilvl="5"/>
    <w:lvlOverride w:ilvl="6"/>
    <w:lvlOverride w:ilvl="7"/>
    <w:lvlOverride w:ilvl="8"/>
  </w:num>
  <w:num w:numId="43" w16cid:durableId="1014693938">
    <w:abstractNumId w:val="9"/>
  </w:num>
  <w:num w:numId="44" w16cid:durableId="1268347585">
    <w:abstractNumId w:val="15"/>
  </w:num>
  <w:num w:numId="45" w16cid:durableId="2137523929">
    <w:abstractNumId w:val="38"/>
  </w:num>
  <w:num w:numId="46" w16cid:durableId="965115597">
    <w:abstractNumId w:val="27"/>
  </w:num>
  <w:num w:numId="47" w16cid:durableId="948465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V_HIDDEN_GRID_QUERY_LIST_4F35BF76-6C0D-4D9B-82B2-816C12CF3733" w:val="&lt;compressed size=&quot;84&quot;&gt;eJwdijEKgDAQBOdDgSiSw/I0vsMqpWBh4+8dZIubud3Bxc3Dy8lCmM5EpZEUdqnLxa7JISUHm9/inV2s/6JqqYf+Ae3nCpA=&lt;/compressed&gt;_x000d__x000a_"/>
    <w:docVar w:name="SV_QUERY_LIST_4F35BF76-6C0D-4D9B-82B2-816C12CF3733" w:val="&lt;compressed size=&quot;84&quot;&gt;eJwdijEKgDAQBOdDgSiSw/I0vsMqpWBh4+8dZIubud3Bxc3Dy8lCmM5EpZEUdqnLxa7JISUHm9/inV2s/6JqqYf+Ae3nCpA=&lt;/compressed&gt;_x000d__x000a_"/>
  </w:docVars>
  <w:rsids>
    <w:rsidRoot w:val="00115ED5"/>
    <w:rsid w:val="000001D2"/>
    <w:rsid w:val="00000844"/>
    <w:rsid w:val="00000AC8"/>
    <w:rsid w:val="00000AFB"/>
    <w:rsid w:val="00000FE5"/>
    <w:rsid w:val="000016B4"/>
    <w:rsid w:val="000019D8"/>
    <w:rsid w:val="00001E3D"/>
    <w:rsid w:val="00003061"/>
    <w:rsid w:val="00003098"/>
    <w:rsid w:val="00003B80"/>
    <w:rsid w:val="00003DA0"/>
    <w:rsid w:val="00004619"/>
    <w:rsid w:val="00004DDE"/>
    <w:rsid w:val="0000654F"/>
    <w:rsid w:val="0000679C"/>
    <w:rsid w:val="00007703"/>
    <w:rsid w:val="000103D9"/>
    <w:rsid w:val="0001075D"/>
    <w:rsid w:val="0001124A"/>
    <w:rsid w:val="00011844"/>
    <w:rsid w:val="000119BA"/>
    <w:rsid w:val="000126FC"/>
    <w:rsid w:val="00013197"/>
    <w:rsid w:val="000131B2"/>
    <w:rsid w:val="000131BC"/>
    <w:rsid w:val="00013556"/>
    <w:rsid w:val="000139F9"/>
    <w:rsid w:val="00013FE9"/>
    <w:rsid w:val="000141E1"/>
    <w:rsid w:val="00014935"/>
    <w:rsid w:val="000151D6"/>
    <w:rsid w:val="00015431"/>
    <w:rsid w:val="00015833"/>
    <w:rsid w:val="00015880"/>
    <w:rsid w:val="00015A67"/>
    <w:rsid w:val="00015B34"/>
    <w:rsid w:val="00015FE0"/>
    <w:rsid w:val="000165FA"/>
    <w:rsid w:val="0001668F"/>
    <w:rsid w:val="00016A2E"/>
    <w:rsid w:val="00016FB6"/>
    <w:rsid w:val="00020916"/>
    <w:rsid w:val="00021BD2"/>
    <w:rsid w:val="00021D9E"/>
    <w:rsid w:val="00021DDA"/>
    <w:rsid w:val="00022282"/>
    <w:rsid w:val="000225A8"/>
    <w:rsid w:val="000228A5"/>
    <w:rsid w:val="00023CE1"/>
    <w:rsid w:val="00024141"/>
    <w:rsid w:val="0002487D"/>
    <w:rsid w:val="00024AC8"/>
    <w:rsid w:val="0002543B"/>
    <w:rsid w:val="00025843"/>
    <w:rsid w:val="00025EB9"/>
    <w:rsid w:val="0002617E"/>
    <w:rsid w:val="00027187"/>
    <w:rsid w:val="000271D6"/>
    <w:rsid w:val="00027BE9"/>
    <w:rsid w:val="00030037"/>
    <w:rsid w:val="0003018F"/>
    <w:rsid w:val="00030EA6"/>
    <w:rsid w:val="00031A03"/>
    <w:rsid w:val="000334D9"/>
    <w:rsid w:val="00034028"/>
    <w:rsid w:val="00034445"/>
    <w:rsid w:val="000354E5"/>
    <w:rsid w:val="000357A1"/>
    <w:rsid w:val="00035E66"/>
    <w:rsid w:val="0003644C"/>
    <w:rsid w:val="00036904"/>
    <w:rsid w:val="00036DF4"/>
    <w:rsid w:val="00036E49"/>
    <w:rsid w:val="0003742B"/>
    <w:rsid w:val="00037EBF"/>
    <w:rsid w:val="0004069C"/>
    <w:rsid w:val="00040DF3"/>
    <w:rsid w:val="00040E80"/>
    <w:rsid w:val="000410D2"/>
    <w:rsid w:val="0004199B"/>
    <w:rsid w:val="00042530"/>
    <w:rsid w:val="00042549"/>
    <w:rsid w:val="0004261D"/>
    <w:rsid w:val="00042BCB"/>
    <w:rsid w:val="00042F52"/>
    <w:rsid w:val="000433F8"/>
    <w:rsid w:val="00043F27"/>
    <w:rsid w:val="00043F7A"/>
    <w:rsid w:val="00044028"/>
    <w:rsid w:val="00044046"/>
    <w:rsid w:val="00044117"/>
    <w:rsid w:val="00044916"/>
    <w:rsid w:val="000456F1"/>
    <w:rsid w:val="00046059"/>
    <w:rsid w:val="000472ED"/>
    <w:rsid w:val="0005010A"/>
    <w:rsid w:val="000501E3"/>
    <w:rsid w:val="00050770"/>
    <w:rsid w:val="0005087C"/>
    <w:rsid w:val="000523AD"/>
    <w:rsid w:val="00052953"/>
    <w:rsid w:val="00052978"/>
    <w:rsid w:val="00052FE0"/>
    <w:rsid w:val="0005321C"/>
    <w:rsid w:val="00053323"/>
    <w:rsid w:val="000538EF"/>
    <w:rsid w:val="00053A53"/>
    <w:rsid w:val="00056204"/>
    <w:rsid w:val="0005629F"/>
    <w:rsid w:val="00056B87"/>
    <w:rsid w:val="0005703A"/>
    <w:rsid w:val="00057219"/>
    <w:rsid w:val="000578C7"/>
    <w:rsid w:val="00057EC1"/>
    <w:rsid w:val="000603F7"/>
    <w:rsid w:val="00060577"/>
    <w:rsid w:val="00060CB2"/>
    <w:rsid w:val="00060FFF"/>
    <w:rsid w:val="000611EA"/>
    <w:rsid w:val="00061A10"/>
    <w:rsid w:val="00061D5E"/>
    <w:rsid w:val="0006287B"/>
    <w:rsid w:val="00063D85"/>
    <w:rsid w:val="00064120"/>
    <w:rsid w:val="00064A29"/>
    <w:rsid w:val="00066104"/>
    <w:rsid w:val="00066655"/>
    <w:rsid w:val="00066864"/>
    <w:rsid w:val="00066D69"/>
    <w:rsid w:val="00066E35"/>
    <w:rsid w:val="00066FF5"/>
    <w:rsid w:val="000673D7"/>
    <w:rsid w:val="00070128"/>
    <w:rsid w:val="0007036B"/>
    <w:rsid w:val="000709DF"/>
    <w:rsid w:val="000714BA"/>
    <w:rsid w:val="00071EA3"/>
    <w:rsid w:val="0007301B"/>
    <w:rsid w:val="0007357E"/>
    <w:rsid w:val="000736B9"/>
    <w:rsid w:val="000738BA"/>
    <w:rsid w:val="00074C19"/>
    <w:rsid w:val="0007572D"/>
    <w:rsid w:val="000758CA"/>
    <w:rsid w:val="00075C6C"/>
    <w:rsid w:val="00076B3E"/>
    <w:rsid w:val="00076BCA"/>
    <w:rsid w:val="0008010C"/>
    <w:rsid w:val="0008051E"/>
    <w:rsid w:val="00081072"/>
    <w:rsid w:val="000816F4"/>
    <w:rsid w:val="0008192E"/>
    <w:rsid w:val="000819D3"/>
    <w:rsid w:val="00083C4E"/>
    <w:rsid w:val="000856E6"/>
    <w:rsid w:val="00086971"/>
    <w:rsid w:val="00087283"/>
    <w:rsid w:val="0008774A"/>
    <w:rsid w:val="00087E84"/>
    <w:rsid w:val="00090375"/>
    <w:rsid w:val="000906AA"/>
    <w:rsid w:val="00090C25"/>
    <w:rsid w:val="00090C94"/>
    <w:rsid w:val="00090FF3"/>
    <w:rsid w:val="00091552"/>
    <w:rsid w:val="0009211A"/>
    <w:rsid w:val="00092361"/>
    <w:rsid w:val="000923F7"/>
    <w:rsid w:val="00092B30"/>
    <w:rsid w:val="00094418"/>
    <w:rsid w:val="0009478B"/>
    <w:rsid w:val="00094A06"/>
    <w:rsid w:val="0009530E"/>
    <w:rsid w:val="00096060"/>
    <w:rsid w:val="00096C6D"/>
    <w:rsid w:val="000977D5"/>
    <w:rsid w:val="000A0043"/>
    <w:rsid w:val="000A05B2"/>
    <w:rsid w:val="000A0FA5"/>
    <w:rsid w:val="000A101F"/>
    <w:rsid w:val="000A150C"/>
    <w:rsid w:val="000A22BE"/>
    <w:rsid w:val="000A2881"/>
    <w:rsid w:val="000A2C27"/>
    <w:rsid w:val="000A2C86"/>
    <w:rsid w:val="000A2DE9"/>
    <w:rsid w:val="000A31F6"/>
    <w:rsid w:val="000A38DF"/>
    <w:rsid w:val="000A3D0E"/>
    <w:rsid w:val="000A3D31"/>
    <w:rsid w:val="000A4012"/>
    <w:rsid w:val="000A41F3"/>
    <w:rsid w:val="000A434B"/>
    <w:rsid w:val="000A4489"/>
    <w:rsid w:val="000A44D7"/>
    <w:rsid w:val="000A4642"/>
    <w:rsid w:val="000A504F"/>
    <w:rsid w:val="000A5346"/>
    <w:rsid w:val="000A61C5"/>
    <w:rsid w:val="000A68D4"/>
    <w:rsid w:val="000A75B8"/>
    <w:rsid w:val="000A7813"/>
    <w:rsid w:val="000A7960"/>
    <w:rsid w:val="000B0131"/>
    <w:rsid w:val="000B18AC"/>
    <w:rsid w:val="000B1A5A"/>
    <w:rsid w:val="000B2141"/>
    <w:rsid w:val="000B4347"/>
    <w:rsid w:val="000B5562"/>
    <w:rsid w:val="000B55AF"/>
    <w:rsid w:val="000B5AC5"/>
    <w:rsid w:val="000B5CED"/>
    <w:rsid w:val="000B61DA"/>
    <w:rsid w:val="000B6B43"/>
    <w:rsid w:val="000B7389"/>
    <w:rsid w:val="000B7973"/>
    <w:rsid w:val="000C02AA"/>
    <w:rsid w:val="000C0C4F"/>
    <w:rsid w:val="000C1F7F"/>
    <w:rsid w:val="000C2508"/>
    <w:rsid w:val="000C36F4"/>
    <w:rsid w:val="000C3D56"/>
    <w:rsid w:val="000C487B"/>
    <w:rsid w:val="000C5089"/>
    <w:rsid w:val="000C50B8"/>
    <w:rsid w:val="000C577D"/>
    <w:rsid w:val="000C6394"/>
    <w:rsid w:val="000C6DE5"/>
    <w:rsid w:val="000C6EBF"/>
    <w:rsid w:val="000C76C2"/>
    <w:rsid w:val="000C7D88"/>
    <w:rsid w:val="000C7E6E"/>
    <w:rsid w:val="000D02FE"/>
    <w:rsid w:val="000D0444"/>
    <w:rsid w:val="000D0A3B"/>
    <w:rsid w:val="000D0C38"/>
    <w:rsid w:val="000D1331"/>
    <w:rsid w:val="000D1DE9"/>
    <w:rsid w:val="000D2004"/>
    <w:rsid w:val="000D292A"/>
    <w:rsid w:val="000D3E52"/>
    <w:rsid w:val="000D4806"/>
    <w:rsid w:val="000D493E"/>
    <w:rsid w:val="000D5155"/>
    <w:rsid w:val="000D56C1"/>
    <w:rsid w:val="000D6795"/>
    <w:rsid w:val="000D6EAD"/>
    <w:rsid w:val="000D7383"/>
    <w:rsid w:val="000D7A35"/>
    <w:rsid w:val="000E066A"/>
    <w:rsid w:val="000E078A"/>
    <w:rsid w:val="000E0B36"/>
    <w:rsid w:val="000E1FA9"/>
    <w:rsid w:val="000E2F24"/>
    <w:rsid w:val="000E41AD"/>
    <w:rsid w:val="000E4E6A"/>
    <w:rsid w:val="000E58D2"/>
    <w:rsid w:val="000E598D"/>
    <w:rsid w:val="000E6976"/>
    <w:rsid w:val="000E6D36"/>
    <w:rsid w:val="000E7505"/>
    <w:rsid w:val="000F0D90"/>
    <w:rsid w:val="000F0FDF"/>
    <w:rsid w:val="000F181E"/>
    <w:rsid w:val="000F1988"/>
    <w:rsid w:val="000F1991"/>
    <w:rsid w:val="000F1F05"/>
    <w:rsid w:val="000F1F0B"/>
    <w:rsid w:val="000F3810"/>
    <w:rsid w:val="000F500F"/>
    <w:rsid w:val="000F522A"/>
    <w:rsid w:val="000F5925"/>
    <w:rsid w:val="000F63AE"/>
    <w:rsid w:val="000F64B3"/>
    <w:rsid w:val="000F6525"/>
    <w:rsid w:val="000F7887"/>
    <w:rsid w:val="00100291"/>
    <w:rsid w:val="00100770"/>
    <w:rsid w:val="00102135"/>
    <w:rsid w:val="00103DC5"/>
    <w:rsid w:val="001047A1"/>
    <w:rsid w:val="00104FCC"/>
    <w:rsid w:val="0010517B"/>
    <w:rsid w:val="00105D78"/>
    <w:rsid w:val="001061FC"/>
    <w:rsid w:val="00106AB7"/>
    <w:rsid w:val="00107654"/>
    <w:rsid w:val="0011006B"/>
    <w:rsid w:val="00110DE5"/>
    <w:rsid w:val="00110E1E"/>
    <w:rsid w:val="001110E9"/>
    <w:rsid w:val="00111A9D"/>
    <w:rsid w:val="00113159"/>
    <w:rsid w:val="001137C2"/>
    <w:rsid w:val="00113B74"/>
    <w:rsid w:val="001141E4"/>
    <w:rsid w:val="00114915"/>
    <w:rsid w:val="001149F9"/>
    <w:rsid w:val="00114C02"/>
    <w:rsid w:val="00114C9C"/>
    <w:rsid w:val="00115227"/>
    <w:rsid w:val="001158DA"/>
    <w:rsid w:val="00115B8B"/>
    <w:rsid w:val="00115DBA"/>
    <w:rsid w:val="00115ED5"/>
    <w:rsid w:val="001165C7"/>
    <w:rsid w:val="00116CA3"/>
    <w:rsid w:val="00117858"/>
    <w:rsid w:val="00120BC0"/>
    <w:rsid w:val="0012156E"/>
    <w:rsid w:val="00121832"/>
    <w:rsid w:val="0012197D"/>
    <w:rsid w:val="00122616"/>
    <w:rsid w:val="00122A1D"/>
    <w:rsid w:val="00122E49"/>
    <w:rsid w:val="00123153"/>
    <w:rsid w:val="00123250"/>
    <w:rsid w:val="00123C7D"/>
    <w:rsid w:val="0012430B"/>
    <w:rsid w:val="00124980"/>
    <w:rsid w:val="00124987"/>
    <w:rsid w:val="00124BBF"/>
    <w:rsid w:val="00125199"/>
    <w:rsid w:val="00125A70"/>
    <w:rsid w:val="00125F9E"/>
    <w:rsid w:val="001260A8"/>
    <w:rsid w:val="001273D4"/>
    <w:rsid w:val="001273E2"/>
    <w:rsid w:val="00127431"/>
    <w:rsid w:val="00127BEA"/>
    <w:rsid w:val="00127E4A"/>
    <w:rsid w:val="00130EA5"/>
    <w:rsid w:val="00131081"/>
    <w:rsid w:val="00131D40"/>
    <w:rsid w:val="001321A8"/>
    <w:rsid w:val="001326F1"/>
    <w:rsid w:val="00133000"/>
    <w:rsid w:val="00133E17"/>
    <w:rsid w:val="00135051"/>
    <w:rsid w:val="001366C0"/>
    <w:rsid w:val="001367F2"/>
    <w:rsid w:val="00140220"/>
    <w:rsid w:val="00140250"/>
    <w:rsid w:val="00140A52"/>
    <w:rsid w:val="001415D8"/>
    <w:rsid w:val="00142CC0"/>
    <w:rsid w:val="00143D63"/>
    <w:rsid w:val="001445AF"/>
    <w:rsid w:val="00144737"/>
    <w:rsid w:val="00144EC8"/>
    <w:rsid w:val="0014561E"/>
    <w:rsid w:val="0014780B"/>
    <w:rsid w:val="00147BEB"/>
    <w:rsid w:val="001501CA"/>
    <w:rsid w:val="00150C5F"/>
    <w:rsid w:val="0015126D"/>
    <w:rsid w:val="00151DC4"/>
    <w:rsid w:val="001521CA"/>
    <w:rsid w:val="0015252C"/>
    <w:rsid w:val="00152A15"/>
    <w:rsid w:val="00152D34"/>
    <w:rsid w:val="00153472"/>
    <w:rsid w:val="0015398F"/>
    <w:rsid w:val="00153AB7"/>
    <w:rsid w:val="00154E58"/>
    <w:rsid w:val="00156063"/>
    <w:rsid w:val="00156A16"/>
    <w:rsid w:val="001577E7"/>
    <w:rsid w:val="00157D08"/>
    <w:rsid w:val="00160DE7"/>
    <w:rsid w:val="001613A6"/>
    <w:rsid w:val="00163214"/>
    <w:rsid w:val="00163264"/>
    <w:rsid w:val="00163A27"/>
    <w:rsid w:val="00163E69"/>
    <w:rsid w:val="0016416A"/>
    <w:rsid w:val="00164308"/>
    <w:rsid w:val="001643EC"/>
    <w:rsid w:val="00164C23"/>
    <w:rsid w:val="00165ACC"/>
    <w:rsid w:val="0016669B"/>
    <w:rsid w:val="001677B6"/>
    <w:rsid w:val="00167C14"/>
    <w:rsid w:val="001721B8"/>
    <w:rsid w:val="00173364"/>
    <w:rsid w:val="00173577"/>
    <w:rsid w:val="001735C2"/>
    <w:rsid w:val="001735FC"/>
    <w:rsid w:val="00173620"/>
    <w:rsid w:val="00173A42"/>
    <w:rsid w:val="00174072"/>
    <w:rsid w:val="00174330"/>
    <w:rsid w:val="00175705"/>
    <w:rsid w:val="00176074"/>
    <w:rsid w:val="00176A6B"/>
    <w:rsid w:val="00176DEA"/>
    <w:rsid w:val="00177BAF"/>
    <w:rsid w:val="001801A0"/>
    <w:rsid w:val="00180482"/>
    <w:rsid w:val="00180E45"/>
    <w:rsid w:val="00181E1C"/>
    <w:rsid w:val="001825F8"/>
    <w:rsid w:val="00182785"/>
    <w:rsid w:val="00182D31"/>
    <w:rsid w:val="0018301F"/>
    <w:rsid w:val="001839E0"/>
    <w:rsid w:val="00184B25"/>
    <w:rsid w:val="001857D4"/>
    <w:rsid w:val="00185F27"/>
    <w:rsid w:val="0018607C"/>
    <w:rsid w:val="001860B0"/>
    <w:rsid w:val="00186F28"/>
    <w:rsid w:val="00187D6D"/>
    <w:rsid w:val="00190060"/>
    <w:rsid w:val="00190C81"/>
    <w:rsid w:val="001911F0"/>
    <w:rsid w:val="0019158B"/>
    <w:rsid w:val="00191A78"/>
    <w:rsid w:val="0019253B"/>
    <w:rsid w:val="0019268E"/>
    <w:rsid w:val="0019302F"/>
    <w:rsid w:val="001937FE"/>
    <w:rsid w:val="00193AE0"/>
    <w:rsid w:val="00193ED3"/>
    <w:rsid w:val="00194EFE"/>
    <w:rsid w:val="0019506B"/>
    <w:rsid w:val="00195166"/>
    <w:rsid w:val="00195611"/>
    <w:rsid w:val="00196C68"/>
    <w:rsid w:val="0019702F"/>
    <w:rsid w:val="0019743E"/>
    <w:rsid w:val="001975CA"/>
    <w:rsid w:val="00197DB4"/>
    <w:rsid w:val="001A0540"/>
    <w:rsid w:val="001A0CA1"/>
    <w:rsid w:val="001A1EF0"/>
    <w:rsid w:val="001A20FB"/>
    <w:rsid w:val="001A2438"/>
    <w:rsid w:val="001A248D"/>
    <w:rsid w:val="001A28DC"/>
    <w:rsid w:val="001A4129"/>
    <w:rsid w:val="001A4138"/>
    <w:rsid w:val="001A4928"/>
    <w:rsid w:val="001A4D8F"/>
    <w:rsid w:val="001A55FA"/>
    <w:rsid w:val="001A578D"/>
    <w:rsid w:val="001A5DF9"/>
    <w:rsid w:val="001A6455"/>
    <w:rsid w:val="001A6A2A"/>
    <w:rsid w:val="001A7238"/>
    <w:rsid w:val="001A7D82"/>
    <w:rsid w:val="001B05B9"/>
    <w:rsid w:val="001B11C6"/>
    <w:rsid w:val="001B1634"/>
    <w:rsid w:val="001B177D"/>
    <w:rsid w:val="001B1C77"/>
    <w:rsid w:val="001B29A8"/>
    <w:rsid w:val="001B3BBC"/>
    <w:rsid w:val="001B3F3C"/>
    <w:rsid w:val="001B4859"/>
    <w:rsid w:val="001B644F"/>
    <w:rsid w:val="001B7200"/>
    <w:rsid w:val="001B7A72"/>
    <w:rsid w:val="001C00A5"/>
    <w:rsid w:val="001C00F4"/>
    <w:rsid w:val="001C0861"/>
    <w:rsid w:val="001C0D32"/>
    <w:rsid w:val="001C13C9"/>
    <w:rsid w:val="001C34B4"/>
    <w:rsid w:val="001C3C1B"/>
    <w:rsid w:val="001C3C9E"/>
    <w:rsid w:val="001C4501"/>
    <w:rsid w:val="001C5DE3"/>
    <w:rsid w:val="001C5E01"/>
    <w:rsid w:val="001C5EED"/>
    <w:rsid w:val="001C623C"/>
    <w:rsid w:val="001C66B0"/>
    <w:rsid w:val="001C778F"/>
    <w:rsid w:val="001C7F7D"/>
    <w:rsid w:val="001D073E"/>
    <w:rsid w:val="001D0D42"/>
    <w:rsid w:val="001D109D"/>
    <w:rsid w:val="001D1770"/>
    <w:rsid w:val="001D2C4F"/>
    <w:rsid w:val="001D2E6D"/>
    <w:rsid w:val="001D31AA"/>
    <w:rsid w:val="001D33AA"/>
    <w:rsid w:val="001D40B9"/>
    <w:rsid w:val="001D485F"/>
    <w:rsid w:val="001D4A0F"/>
    <w:rsid w:val="001D4B2F"/>
    <w:rsid w:val="001D5BD5"/>
    <w:rsid w:val="001D6CEF"/>
    <w:rsid w:val="001D7AF1"/>
    <w:rsid w:val="001E0323"/>
    <w:rsid w:val="001E0423"/>
    <w:rsid w:val="001E0440"/>
    <w:rsid w:val="001E0ABD"/>
    <w:rsid w:val="001E264D"/>
    <w:rsid w:val="001E3645"/>
    <w:rsid w:val="001E3C49"/>
    <w:rsid w:val="001E3DDA"/>
    <w:rsid w:val="001E3EAC"/>
    <w:rsid w:val="001E3EEB"/>
    <w:rsid w:val="001E4382"/>
    <w:rsid w:val="001E476C"/>
    <w:rsid w:val="001E5485"/>
    <w:rsid w:val="001E66E5"/>
    <w:rsid w:val="001E7574"/>
    <w:rsid w:val="001E7C8B"/>
    <w:rsid w:val="001F0F93"/>
    <w:rsid w:val="001F1F47"/>
    <w:rsid w:val="001F2C05"/>
    <w:rsid w:val="001F2C53"/>
    <w:rsid w:val="001F3F21"/>
    <w:rsid w:val="001F48AE"/>
    <w:rsid w:val="001F4E8A"/>
    <w:rsid w:val="001F685C"/>
    <w:rsid w:val="002000F4"/>
    <w:rsid w:val="00200434"/>
    <w:rsid w:val="0020129D"/>
    <w:rsid w:val="00202433"/>
    <w:rsid w:val="00202450"/>
    <w:rsid w:val="00202A2D"/>
    <w:rsid w:val="00203293"/>
    <w:rsid w:val="002037F7"/>
    <w:rsid w:val="00203995"/>
    <w:rsid w:val="00203FC2"/>
    <w:rsid w:val="002042BD"/>
    <w:rsid w:val="00204817"/>
    <w:rsid w:val="00204850"/>
    <w:rsid w:val="002050A1"/>
    <w:rsid w:val="002052AD"/>
    <w:rsid w:val="00205494"/>
    <w:rsid w:val="002062B5"/>
    <w:rsid w:val="002106E0"/>
    <w:rsid w:val="0021073B"/>
    <w:rsid w:val="002108E5"/>
    <w:rsid w:val="00210DEC"/>
    <w:rsid w:val="0021248B"/>
    <w:rsid w:val="002125A6"/>
    <w:rsid w:val="0021272D"/>
    <w:rsid w:val="00212E7E"/>
    <w:rsid w:val="0021326F"/>
    <w:rsid w:val="002137BC"/>
    <w:rsid w:val="00215CA8"/>
    <w:rsid w:val="00215E65"/>
    <w:rsid w:val="00215ED0"/>
    <w:rsid w:val="0021676D"/>
    <w:rsid w:val="00216D0E"/>
    <w:rsid w:val="00216DD1"/>
    <w:rsid w:val="00217855"/>
    <w:rsid w:val="00217AC7"/>
    <w:rsid w:val="00220729"/>
    <w:rsid w:val="00221008"/>
    <w:rsid w:val="0022156E"/>
    <w:rsid w:val="0022243C"/>
    <w:rsid w:val="0022343C"/>
    <w:rsid w:val="00223B78"/>
    <w:rsid w:val="002244C6"/>
    <w:rsid w:val="002259B7"/>
    <w:rsid w:val="00226177"/>
    <w:rsid w:val="00226A5E"/>
    <w:rsid w:val="00227ABF"/>
    <w:rsid w:val="002304DA"/>
    <w:rsid w:val="002312BC"/>
    <w:rsid w:val="00232A5B"/>
    <w:rsid w:val="00232CF0"/>
    <w:rsid w:val="00232DE0"/>
    <w:rsid w:val="0023388F"/>
    <w:rsid w:val="0023453E"/>
    <w:rsid w:val="002345B8"/>
    <w:rsid w:val="00236C0D"/>
    <w:rsid w:val="0024038E"/>
    <w:rsid w:val="002411DC"/>
    <w:rsid w:val="0024121C"/>
    <w:rsid w:val="00241905"/>
    <w:rsid w:val="0024274D"/>
    <w:rsid w:val="002427DE"/>
    <w:rsid w:val="00243BAE"/>
    <w:rsid w:val="00243EFD"/>
    <w:rsid w:val="002445B3"/>
    <w:rsid w:val="00244A0E"/>
    <w:rsid w:val="002460C6"/>
    <w:rsid w:val="00246C14"/>
    <w:rsid w:val="002471FA"/>
    <w:rsid w:val="00247AE9"/>
    <w:rsid w:val="0025027F"/>
    <w:rsid w:val="00251129"/>
    <w:rsid w:val="002512EC"/>
    <w:rsid w:val="00251925"/>
    <w:rsid w:val="00252F78"/>
    <w:rsid w:val="00253B1E"/>
    <w:rsid w:val="00253BDF"/>
    <w:rsid w:val="00254FA1"/>
    <w:rsid w:val="002555C8"/>
    <w:rsid w:val="00255657"/>
    <w:rsid w:val="00255ECA"/>
    <w:rsid w:val="00256034"/>
    <w:rsid w:val="0025631A"/>
    <w:rsid w:val="0025645D"/>
    <w:rsid w:val="002564C1"/>
    <w:rsid w:val="00257339"/>
    <w:rsid w:val="00260477"/>
    <w:rsid w:val="0026088E"/>
    <w:rsid w:val="00260ED5"/>
    <w:rsid w:val="00261109"/>
    <w:rsid w:val="0026131A"/>
    <w:rsid w:val="00261489"/>
    <w:rsid w:val="0026155D"/>
    <w:rsid w:val="002617C8"/>
    <w:rsid w:val="002626AB"/>
    <w:rsid w:val="00262894"/>
    <w:rsid w:val="002628EC"/>
    <w:rsid w:val="00262FE3"/>
    <w:rsid w:val="00263CCA"/>
    <w:rsid w:val="002643B3"/>
    <w:rsid w:val="00264C0B"/>
    <w:rsid w:val="00264CCF"/>
    <w:rsid w:val="002652FF"/>
    <w:rsid w:val="00265FB4"/>
    <w:rsid w:val="00266C47"/>
    <w:rsid w:val="002679F2"/>
    <w:rsid w:val="00267AA5"/>
    <w:rsid w:val="00267D16"/>
    <w:rsid w:val="00267DED"/>
    <w:rsid w:val="0027003B"/>
    <w:rsid w:val="00270111"/>
    <w:rsid w:val="002704F4"/>
    <w:rsid w:val="002707B1"/>
    <w:rsid w:val="002707DC"/>
    <w:rsid w:val="002711B1"/>
    <w:rsid w:val="00272B8F"/>
    <w:rsid w:val="002737F4"/>
    <w:rsid w:val="00273926"/>
    <w:rsid w:val="0027545B"/>
    <w:rsid w:val="00275495"/>
    <w:rsid w:val="00275756"/>
    <w:rsid w:val="00275B52"/>
    <w:rsid w:val="00275EE0"/>
    <w:rsid w:val="002760B7"/>
    <w:rsid w:val="002764C0"/>
    <w:rsid w:val="00276AAF"/>
    <w:rsid w:val="00277100"/>
    <w:rsid w:val="00280148"/>
    <w:rsid w:val="0028018C"/>
    <w:rsid w:val="00281372"/>
    <w:rsid w:val="0028144D"/>
    <w:rsid w:val="00281888"/>
    <w:rsid w:val="00281D5B"/>
    <w:rsid w:val="00282232"/>
    <w:rsid w:val="00282DDF"/>
    <w:rsid w:val="0028367C"/>
    <w:rsid w:val="00283DD2"/>
    <w:rsid w:val="00286C21"/>
    <w:rsid w:val="00286DF8"/>
    <w:rsid w:val="00287CE9"/>
    <w:rsid w:val="0028ADDB"/>
    <w:rsid w:val="00291154"/>
    <w:rsid w:val="00291D0D"/>
    <w:rsid w:val="00292B80"/>
    <w:rsid w:val="00292CC1"/>
    <w:rsid w:val="00292D4E"/>
    <w:rsid w:val="002932B8"/>
    <w:rsid w:val="00293C7F"/>
    <w:rsid w:val="00293E2F"/>
    <w:rsid w:val="00295ED3"/>
    <w:rsid w:val="00295F84"/>
    <w:rsid w:val="002965DA"/>
    <w:rsid w:val="00296C91"/>
    <w:rsid w:val="002973EF"/>
    <w:rsid w:val="002974CF"/>
    <w:rsid w:val="0029D217"/>
    <w:rsid w:val="002A070A"/>
    <w:rsid w:val="002A0A63"/>
    <w:rsid w:val="002A0CBB"/>
    <w:rsid w:val="002A0F37"/>
    <w:rsid w:val="002A11A0"/>
    <w:rsid w:val="002A1C79"/>
    <w:rsid w:val="002A1F75"/>
    <w:rsid w:val="002A20E0"/>
    <w:rsid w:val="002A2E57"/>
    <w:rsid w:val="002A2F68"/>
    <w:rsid w:val="002A41AD"/>
    <w:rsid w:val="002A4B09"/>
    <w:rsid w:val="002A4BC2"/>
    <w:rsid w:val="002A4D8D"/>
    <w:rsid w:val="002A4FE3"/>
    <w:rsid w:val="002A536D"/>
    <w:rsid w:val="002A75D7"/>
    <w:rsid w:val="002A765B"/>
    <w:rsid w:val="002A7D0F"/>
    <w:rsid w:val="002B13E1"/>
    <w:rsid w:val="002B363A"/>
    <w:rsid w:val="002B3681"/>
    <w:rsid w:val="002B3E3B"/>
    <w:rsid w:val="002B43FA"/>
    <w:rsid w:val="002B4BE8"/>
    <w:rsid w:val="002B4F77"/>
    <w:rsid w:val="002B567F"/>
    <w:rsid w:val="002B73EA"/>
    <w:rsid w:val="002C0361"/>
    <w:rsid w:val="002C0AE8"/>
    <w:rsid w:val="002C143F"/>
    <w:rsid w:val="002C148D"/>
    <w:rsid w:val="002C14E8"/>
    <w:rsid w:val="002C1B77"/>
    <w:rsid w:val="002C2833"/>
    <w:rsid w:val="002C3120"/>
    <w:rsid w:val="002C393C"/>
    <w:rsid w:val="002C3B18"/>
    <w:rsid w:val="002C4E72"/>
    <w:rsid w:val="002C4FB2"/>
    <w:rsid w:val="002C53DE"/>
    <w:rsid w:val="002C5F93"/>
    <w:rsid w:val="002C7581"/>
    <w:rsid w:val="002C788B"/>
    <w:rsid w:val="002C78E7"/>
    <w:rsid w:val="002C7D93"/>
    <w:rsid w:val="002C7E22"/>
    <w:rsid w:val="002D19E5"/>
    <w:rsid w:val="002D20AE"/>
    <w:rsid w:val="002D2C8F"/>
    <w:rsid w:val="002D3429"/>
    <w:rsid w:val="002D4F78"/>
    <w:rsid w:val="002D52F0"/>
    <w:rsid w:val="002D56F0"/>
    <w:rsid w:val="002D5721"/>
    <w:rsid w:val="002D68FF"/>
    <w:rsid w:val="002D69C9"/>
    <w:rsid w:val="002D7039"/>
    <w:rsid w:val="002D7B80"/>
    <w:rsid w:val="002D7FD0"/>
    <w:rsid w:val="002E0206"/>
    <w:rsid w:val="002E0EE8"/>
    <w:rsid w:val="002E12C8"/>
    <w:rsid w:val="002E247F"/>
    <w:rsid w:val="002E27E0"/>
    <w:rsid w:val="002E2A35"/>
    <w:rsid w:val="002E2BE3"/>
    <w:rsid w:val="002E3598"/>
    <w:rsid w:val="002E39C5"/>
    <w:rsid w:val="002E4204"/>
    <w:rsid w:val="002E4640"/>
    <w:rsid w:val="002E47AE"/>
    <w:rsid w:val="002E4F79"/>
    <w:rsid w:val="002E63A6"/>
    <w:rsid w:val="002E6DF0"/>
    <w:rsid w:val="002E72B4"/>
    <w:rsid w:val="002E7608"/>
    <w:rsid w:val="002F06F0"/>
    <w:rsid w:val="002F1296"/>
    <w:rsid w:val="002F1732"/>
    <w:rsid w:val="002F23BC"/>
    <w:rsid w:val="002F26A8"/>
    <w:rsid w:val="002F33C6"/>
    <w:rsid w:val="002F4048"/>
    <w:rsid w:val="002F4250"/>
    <w:rsid w:val="002F45F8"/>
    <w:rsid w:val="002F49D7"/>
    <w:rsid w:val="002F4DDE"/>
    <w:rsid w:val="002F627C"/>
    <w:rsid w:val="002F6418"/>
    <w:rsid w:val="002F644C"/>
    <w:rsid w:val="002F69B4"/>
    <w:rsid w:val="002F75B5"/>
    <w:rsid w:val="002F7730"/>
    <w:rsid w:val="002F7A0A"/>
    <w:rsid w:val="002F7CA5"/>
    <w:rsid w:val="0030006F"/>
    <w:rsid w:val="0030075D"/>
    <w:rsid w:val="003007F7"/>
    <w:rsid w:val="00300A7F"/>
    <w:rsid w:val="00301717"/>
    <w:rsid w:val="00301879"/>
    <w:rsid w:val="00301E89"/>
    <w:rsid w:val="00301EA9"/>
    <w:rsid w:val="0030250F"/>
    <w:rsid w:val="00302C91"/>
    <w:rsid w:val="003038EA"/>
    <w:rsid w:val="00304881"/>
    <w:rsid w:val="003049C6"/>
    <w:rsid w:val="0030580D"/>
    <w:rsid w:val="00305B11"/>
    <w:rsid w:val="00305D45"/>
    <w:rsid w:val="00305F27"/>
    <w:rsid w:val="0030644C"/>
    <w:rsid w:val="00306666"/>
    <w:rsid w:val="00306F44"/>
    <w:rsid w:val="003074E8"/>
    <w:rsid w:val="00307D7E"/>
    <w:rsid w:val="00310599"/>
    <w:rsid w:val="00310BE6"/>
    <w:rsid w:val="0031263B"/>
    <w:rsid w:val="00312BA3"/>
    <w:rsid w:val="0031312B"/>
    <w:rsid w:val="003133E7"/>
    <w:rsid w:val="00313484"/>
    <w:rsid w:val="003143E4"/>
    <w:rsid w:val="00314669"/>
    <w:rsid w:val="00314CE7"/>
    <w:rsid w:val="00314E48"/>
    <w:rsid w:val="00315BE7"/>
    <w:rsid w:val="00315D20"/>
    <w:rsid w:val="0031672F"/>
    <w:rsid w:val="00316E9F"/>
    <w:rsid w:val="00317327"/>
    <w:rsid w:val="0031761D"/>
    <w:rsid w:val="00317807"/>
    <w:rsid w:val="003203D8"/>
    <w:rsid w:val="003210C6"/>
    <w:rsid w:val="00321A3B"/>
    <w:rsid w:val="00322259"/>
    <w:rsid w:val="003228D4"/>
    <w:rsid w:val="0032343F"/>
    <w:rsid w:val="00323A3A"/>
    <w:rsid w:val="00323A5F"/>
    <w:rsid w:val="00323F2A"/>
    <w:rsid w:val="00324002"/>
    <w:rsid w:val="00324CF3"/>
    <w:rsid w:val="00324E1F"/>
    <w:rsid w:val="003250F8"/>
    <w:rsid w:val="00325EF5"/>
    <w:rsid w:val="00326401"/>
    <w:rsid w:val="00326688"/>
    <w:rsid w:val="00326850"/>
    <w:rsid w:val="00326B10"/>
    <w:rsid w:val="00327762"/>
    <w:rsid w:val="00327F29"/>
    <w:rsid w:val="0033038E"/>
    <w:rsid w:val="00330981"/>
    <w:rsid w:val="00330997"/>
    <w:rsid w:val="003310F6"/>
    <w:rsid w:val="00331415"/>
    <w:rsid w:val="00331EBD"/>
    <w:rsid w:val="003321E9"/>
    <w:rsid w:val="00332635"/>
    <w:rsid w:val="003329C2"/>
    <w:rsid w:val="003334C0"/>
    <w:rsid w:val="003337B1"/>
    <w:rsid w:val="00333B1C"/>
    <w:rsid w:val="003344CB"/>
    <w:rsid w:val="00334BBC"/>
    <w:rsid w:val="0033586B"/>
    <w:rsid w:val="0033773E"/>
    <w:rsid w:val="00337750"/>
    <w:rsid w:val="00340942"/>
    <w:rsid w:val="0034121D"/>
    <w:rsid w:val="0034136E"/>
    <w:rsid w:val="003454A2"/>
    <w:rsid w:val="00345531"/>
    <w:rsid w:val="003460A7"/>
    <w:rsid w:val="0034652B"/>
    <w:rsid w:val="00350227"/>
    <w:rsid w:val="003502C6"/>
    <w:rsid w:val="00350A7D"/>
    <w:rsid w:val="003511E6"/>
    <w:rsid w:val="00353590"/>
    <w:rsid w:val="00353BCC"/>
    <w:rsid w:val="0035410A"/>
    <w:rsid w:val="003541A9"/>
    <w:rsid w:val="003542D9"/>
    <w:rsid w:val="003542FC"/>
    <w:rsid w:val="00355D06"/>
    <w:rsid w:val="0035650D"/>
    <w:rsid w:val="003567E7"/>
    <w:rsid w:val="0035728B"/>
    <w:rsid w:val="00357311"/>
    <w:rsid w:val="00360245"/>
    <w:rsid w:val="00360444"/>
    <w:rsid w:val="00360C40"/>
    <w:rsid w:val="003618E6"/>
    <w:rsid w:val="00363BB5"/>
    <w:rsid w:val="0036438A"/>
    <w:rsid w:val="003647E1"/>
    <w:rsid w:val="00364C3E"/>
    <w:rsid w:val="00366732"/>
    <w:rsid w:val="00366E59"/>
    <w:rsid w:val="00366F3B"/>
    <w:rsid w:val="003671D0"/>
    <w:rsid w:val="003673F4"/>
    <w:rsid w:val="003674B1"/>
    <w:rsid w:val="003678E8"/>
    <w:rsid w:val="00367D4C"/>
    <w:rsid w:val="00370E4F"/>
    <w:rsid w:val="0037218D"/>
    <w:rsid w:val="00372678"/>
    <w:rsid w:val="00372A51"/>
    <w:rsid w:val="003752F2"/>
    <w:rsid w:val="003767F2"/>
    <w:rsid w:val="00376A5E"/>
    <w:rsid w:val="003778B9"/>
    <w:rsid w:val="003801BD"/>
    <w:rsid w:val="003805B8"/>
    <w:rsid w:val="00380628"/>
    <w:rsid w:val="0038070F"/>
    <w:rsid w:val="0038114A"/>
    <w:rsid w:val="00381AB2"/>
    <w:rsid w:val="00381F35"/>
    <w:rsid w:val="003822E1"/>
    <w:rsid w:val="0038298C"/>
    <w:rsid w:val="00382DB5"/>
    <w:rsid w:val="0038437B"/>
    <w:rsid w:val="00384A16"/>
    <w:rsid w:val="00384E8F"/>
    <w:rsid w:val="003850AC"/>
    <w:rsid w:val="003851E1"/>
    <w:rsid w:val="00385599"/>
    <w:rsid w:val="00385637"/>
    <w:rsid w:val="00385A34"/>
    <w:rsid w:val="00385BAF"/>
    <w:rsid w:val="00385BC5"/>
    <w:rsid w:val="00386141"/>
    <w:rsid w:val="003870F5"/>
    <w:rsid w:val="003901EA"/>
    <w:rsid w:val="00390810"/>
    <w:rsid w:val="003909DF"/>
    <w:rsid w:val="00391F68"/>
    <w:rsid w:val="0039210B"/>
    <w:rsid w:val="00392BEC"/>
    <w:rsid w:val="00393FBA"/>
    <w:rsid w:val="00394717"/>
    <w:rsid w:val="00394D16"/>
    <w:rsid w:val="00394DA9"/>
    <w:rsid w:val="00394EDC"/>
    <w:rsid w:val="00394F8C"/>
    <w:rsid w:val="00395EB8"/>
    <w:rsid w:val="003A0302"/>
    <w:rsid w:val="003A040B"/>
    <w:rsid w:val="003A07FE"/>
    <w:rsid w:val="003A20CD"/>
    <w:rsid w:val="003A340C"/>
    <w:rsid w:val="003A4382"/>
    <w:rsid w:val="003A49D1"/>
    <w:rsid w:val="003A4BB8"/>
    <w:rsid w:val="003A4C28"/>
    <w:rsid w:val="003A4EA3"/>
    <w:rsid w:val="003A595A"/>
    <w:rsid w:val="003A61BD"/>
    <w:rsid w:val="003A66C5"/>
    <w:rsid w:val="003A680B"/>
    <w:rsid w:val="003A6938"/>
    <w:rsid w:val="003A71C0"/>
    <w:rsid w:val="003B0490"/>
    <w:rsid w:val="003B05BC"/>
    <w:rsid w:val="003B06AC"/>
    <w:rsid w:val="003B07C0"/>
    <w:rsid w:val="003B1380"/>
    <w:rsid w:val="003B147A"/>
    <w:rsid w:val="003B167F"/>
    <w:rsid w:val="003B18A8"/>
    <w:rsid w:val="003B28BB"/>
    <w:rsid w:val="003B2BEE"/>
    <w:rsid w:val="003B31ED"/>
    <w:rsid w:val="003B3B2B"/>
    <w:rsid w:val="003B40DB"/>
    <w:rsid w:val="003B4D01"/>
    <w:rsid w:val="003B4F2B"/>
    <w:rsid w:val="003B542C"/>
    <w:rsid w:val="003B5A31"/>
    <w:rsid w:val="003B6032"/>
    <w:rsid w:val="003B722B"/>
    <w:rsid w:val="003B7511"/>
    <w:rsid w:val="003C0037"/>
    <w:rsid w:val="003C04AF"/>
    <w:rsid w:val="003C06A3"/>
    <w:rsid w:val="003C1107"/>
    <w:rsid w:val="003C1ADD"/>
    <w:rsid w:val="003C22AD"/>
    <w:rsid w:val="003C2776"/>
    <w:rsid w:val="003C2E0D"/>
    <w:rsid w:val="003C2F0C"/>
    <w:rsid w:val="003C3034"/>
    <w:rsid w:val="003C4164"/>
    <w:rsid w:val="003C4A3B"/>
    <w:rsid w:val="003C5363"/>
    <w:rsid w:val="003C5704"/>
    <w:rsid w:val="003C5888"/>
    <w:rsid w:val="003C5AB5"/>
    <w:rsid w:val="003C5E76"/>
    <w:rsid w:val="003C6496"/>
    <w:rsid w:val="003C6E0B"/>
    <w:rsid w:val="003C71C1"/>
    <w:rsid w:val="003C71E4"/>
    <w:rsid w:val="003D055C"/>
    <w:rsid w:val="003D18F0"/>
    <w:rsid w:val="003D290C"/>
    <w:rsid w:val="003D2AF0"/>
    <w:rsid w:val="003D4872"/>
    <w:rsid w:val="003D578F"/>
    <w:rsid w:val="003D59DF"/>
    <w:rsid w:val="003D6456"/>
    <w:rsid w:val="003D6699"/>
    <w:rsid w:val="003D7593"/>
    <w:rsid w:val="003D7E9B"/>
    <w:rsid w:val="003E0020"/>
    <w:rsid w:val="003E03B5"/>
    <w:rsid w:val="003E03CF"/>
    <w:rsid w:val="003E149A"/>
    <w:rsid w:val="003E17B2"/>
    <w:rsid w:val="003E1A19"/>
    <w:rsid w:val="003E1CF1"/>
    <w:rsid w:val="003E2384"/>
    <w:rsid w:val="003E2923"/>
    <w:rsid w:val="003E38E8"/>
    <w:rsid w:val="003E3927"/>
    <w:rsid w:val="003E392D"/>
    <w:rsid w:val="003E3C2A"/>
    <w:rsid w:val="003E3E1F"/>
    <w:rsid w:val="003E4CED"/>
    <w:rsid w:val="003E4F24"/>
    <w:rsid w:val="003E53B4"/>
    <w:rsid w:val="003E5468"/>
    <w:rsid w:val="003E5C61"/>
    <w:rsid w:val="003E7564"/>
    <w:rsid w:val="003E7C7F"/>
    <w:rsid w:val="003E7CBB"/>
    <w:rsid w:val="003F0CA2"/>
    <w:rsid w:val="003F0D8A"/>
    <w:rsid w:val="003F1855"/>
    <w:rsid w:val="003F1F3C"/>
    <w:rsid w:val="003F2400"/>
    <w:rsid w:val="003F2BF4"/>
    <w:rsid w:val="003F2DD8"/>
    <w:rsid w:val="003F2EDC"/>
    <w:rsid w:val="003F3361"/>
    <w:rsid w:val="003F34EC"/>
    <w:rsid w:val="003F408C"/>
    <w:rsid w:val="003F4225"/>
    <w:rsid w:val="003F42B7"/>
    <w:rsid w:val="003F5008"/>
    <w:rsid w:val="003F5C2A"/>
    <w:rsid w:val="003F5C5E"/>
    <w:rsid w:val="003F6203"/>
    <w:rsid w:val="003F717B"/>
    <w:rsid w:val="003F723C"/>
    <w:rsid w:val="00400C6F"/>
    <w:rsid w:val="00401E2C"/>
    <w:rsid w:val="0040224B"/>
    <w:rsid w:val="00402C44"/>
    <w:rsid w:val="00402F54"/>
    <w:rsid w:val="004039DA"/>
    <w:rsid w:val="004042AD"/>
    <w:rsid w:val="00404495"/>
    <w:rsid w:val="004074CF"/>
    <w:rsid w:val="00407663"/>
    <w:rsid w:val="00407B71"/>
    <w:rsid w:val="00407CFF"/>
    <w:rsid w:val="00410162"/>
    <w:rsid w:val="004102CA"/>
    <w:rsid w:val="0041039E"/>
    <w:rsid w:val="00410CCD"/>
    <w:rsid w:val="00411BC7"/>
    <w:rsid w:val="00411F72"/>
    <w:rsid w:val="00412BA3"/>
    <w:rsid w:val="00413762"/>
    <w:rsid w:val="00413C49"/>
    <w:rsid w:val="00414088"/>
    <w:rsid w:val="00414718"/>
    <w:rsid w:val="00414D2F"/>
    <w:rsid w:val="004159B8"/>
    <w:rsid w:val="0041602A"/>
    <w:rsid w:val="00420D90"/>
    <w:rsid w:val="0042118F"/>
    <w:rsid w:val="00421548"/>
    <w:rsid w:val="00421C38"/>
    <w:rsid w:val="00422259"/>
    <w:rsid w:val="00422EDE"/>
    <w:rsid w:val="0042359E"/>
    <w:rsid w:val="00424B26"/>
    <w:rsid w:val="004254A9"/>
    <w:rsid w:val="00425B38"/>
    <w:rsid w:val="00426752"/>
    <w:rsid w:val="00426964"/>
    <w:rsid w:val="004269C7"/>
    <w:rsid w:val="00427F6C"/>
    <w:rsid w:val="00430EA7"/>
    <w:rsid w:val="00431014"/>
    <w:rsid w:val="0043103A"/>
    <w:rsid w:val="00431528"/>
    <w:rsid w:val="00431D27"/>
    <w:rsid w:val="00431EAF"/>
    <w:rsid w:val="00432769"/>
    <w:rsid w:val="004328A0"/>
    <w:rsid w:val="00432952"/>
    <w:rsid w:val="0043331E"/>
    <w:rsid w:val="00433544"/>
    <w:rsid w:val="00433B6E"/>
    <w:rsid w:val="00434234"/>
    <w:rsid w:val="00434BC0"/>
    <w:rsid w:val="004353A0"/>
    <w:rsid w:val="004359FA"/>
    <w:rsid w:val="004374CF"/>
    <w:rsid w:val="00437B14"/>
    <w:rsid w:val="00437DE7"/>
    <w:rsid w:val="004405A8"/>
    <w:rsid w:val="00440851"/>
    <w:rsid w:val="00441078"/>
    <w:rsid w:val="00441338"/>
    <w:rsid w:val="004414CB"/>
    <w:rsid w:val="004424C3"/>
    <w:rsid w:val="004432E9"/>
    <w:rsid w:val="00443B84"/>
    <w:rsid w:val="00443BCB"/>
    <w:rsid w:val="00443ECA"/>
    <w:rsid w:val="0044434B"/>
    <w:rsid w:val="00446983"/>
    <w:rsid w:val="004476D7"/>
    <w:rsid w:val="00450A16"/>
    <w:rsid w:val="004527F1"/>
    <w:rsid w:val="00453525"/>
    <w:rsid w:val="00453784"/>
    <w:rsid w:val="00453965"/>
    <w:rsid w:val="004540A1"/>
    <w:rsid w:val="0045436E"/>
    <w:rsid w:val="00454A28"/>
    <w:rsid w:val="00455DD4"/>
    <w:rsid w:val="004560FD"/>
    <w:rsid w:val="004561DB"/>
    <w:rsid w:val="004561FF"/>
    <w:rsid w:val="00456B0B"/>
    <w:rsid w:val="00456D86"/>
    <w:rsid w:val="004573D1"/>
    <w:rsid w:val="00457520"/>
    <w:rsid w:val="004576D6"/>
    <w:rsid w:val="00460190"/>
    <w:rsid w:val="00460698"/>
    <w:rsid w:val="00460FA6"/>
    <w:rsid w:val="004615CC"/>
    <w:rsid w:val="00461A6A"/>
    <w:rsid w:val="00461AFF"/>
    <w:rsid w:val="004622AC"/>
    <w:rsid w:val="00462AA1"/>
    <w:rsid w:val="00462D0A"/>
    <w:rsid w:val="00462E86"/>
    <w:rsid w:val="0046361E"/>
    <w:rsid w:val="00464C27"/>
    <w:rsid w:val="00465FBF"/>
    <w:rsid w:val="004668FC"/>
    <w:rsid w:val="00467FBC"/>
    <w:rsid w:val="00467FD7"/>
    <w:rsid w:val="004703CF"/>
    <w:rsid w:val="00470D6E"/>
    <w:rsid w:val="0047167D"/>
    <w:rsid w:val="004731DC"/>
    <w:rsid w:val="00473445"/>
    <w:rsid w:val="00473A6E"/>
    <w:rsid w:val="00474A3B"/>
    <w:rsid w:val="00474CC8"/>
    <w:rsid w:val="00475670"/>
    <w:rsid w:val="00475C65"/>
    <w:rsid w:val="004760B5"/>
    <w:rsid w:val="00477E35"/>
    <w:rsid w:val="004800FC"/>
    <w:rsid w:val="00480D36"/>
    <w:rsid w:val="00480EB7"/>
    <w:rsid w:val="0048106E"/>
    <w:rsid w:val="00482B9C"/>
    <w:rsid w:val="00482BFD"/>
    <w:rsid w:val="00482C7E"/>
    <w:rsid w:val="00482E07"/>
    <w:rsid w:val="00483C83"/>
    <w:rsid w:val="0048457A"/>
    <w:rsid w:val="00486C06"/>
    <w:rsid w:val="00486E6B"/>
    <w:rsid w:val="0048735B"/>
    <w:rsid w:val="004900BC"/>
    <w:rsid w:val="004903EE"/>
    <w:rsid w:val="0049062C"/>
    <w:rsid w:val="004908D4"/>
    <w:rsid w:val="00490A4B"/>
    <w:rsid w:val="00490C54"/>
    <w:rsid w:val="00490D16"/>
    <w:rsid w:val="004925EE"/>
    <w:rsid w:val="00492879"/>
    <w:rsid w:val="004929CA"/>
    <w:rsid w:val="00493599"/>
    <w:rsid w:val="004936F4"/>
    <w:rsid w:val="00493AEE"/>
    <w:rsid w:val="00494EC9"/>
    <w:rsid w:val="00495AC8"/>
    <w:rsid w:val="004969AA"/>
    <w:rsid w:val="00496C9B"/>
    <w:rsid w:val="00497639"/>
    <w:rsid w:val="004A069A"/>
    <w:rsid w:val="004A0D88"/>
    <w:rsid w:val="004A0E85"/>
    <w:rsid w:val="004A237B"/>
    <w:rsid w:val="004A380E"/>
    <w:rsid w:val="004A3D37"/>
    <w:rsid w:val="004A4096"/>
    <w:rsid w:val="004A5378"/>
    <w:rsid w:val="004A564F"/>
    <w:rsid w:val="004A5E2C"/>
    <w:rsid w:val="004A695F"/>
    <w:rsid w:val="004A6CA2"/>
    <w:rsid w:val="004B07E8"/>
    <w:rsid w:val="004B097C"/>
    <w:rsid w:val="004B09BF"/>
    <w:rsid w:val="004B1187"/>
    <w:rsid w:val="004B2143"/>
    <w:rsid w:val="004B21F3"/>
    <w:rsid w:val="004B2627"/>
    <w:rsid w:val="004B26F5"/>
    <w:rsid w:val="004B27AE"/>
    <w:rsid w:val="004B2E66"/>
    <w:rsid w:val="004B306C"/>
    <w:rsid w:val="004B326E"/>
    <w:rsid w:val="004B3C64"/>
    <w:rsid w:val="004B4D4C"/>
    <w:rsid w:val="004B5720"/>
    <w:rsid w:val="004B57B4"/>
    <w:rsid w:val="004B5CC6"/>
    <w:rsid w:val="004B5D0F"/>
    <w:rsid w:val="004B7EF2"/>
    <w:rsid w:val="004C08E3"/>
    <w:rsid w:val="004C1702"/>
    <w:rsid w:val="004C290F"/>
    <w:rsid w:val="004C3A20"/>
    <w:rsid w:val="004C3F4A"/>
    <w:rsid w:val="004C4244"/>
    <w:rsid w:val="004C451D"/>
    <w:rsid w:val="004C4840"/>
    <w:rsid w:val="004C53EA"/>
    <w:rsid w:val="004C5AC4"/>
    <w:rsid w:val="004C6157"/>
    <w:rsid w:val="004C6EB4"/>
    <w:rsid w:val="004C767E"/>
    <w:rsid w:val="004C76EB"/>
    <w:rsid w:val="004C7C0A"/>
    <w:rsid w:val="004D0D4B"/>
    <w:rsid w:val="004D0E96"/>
    <w:rsid w:val="004D11E6"/>
    <w:rsid w:val="004D128B"/>
    <w:rsid w:val="004D166F"/>
    <w:rsid w:val="004D1C0A"/>
    <w:rsid w:val="004D215A"/>
    <w:rsid w:val="004D219A"/>
    <w:rsid w:val="004D2473"/>
    <w:rsid w:val="004D2927"/>
    <w:rsid w:val="004D2962"/>
    <w:rsid w:val="004D2D7A"/>
    <w:rsid w:val="004D41E4"/>
    <w:rsid w:val="004D4D56"/>
    <w:rsid w:val="004D4EA2"/>
    <w:rsid w:val="004D51BD"/>
    <w:rsid w:val="004D5FBB"/>
    <w:rsid w:val="004D750C"/>
    <w:rsid w:val="004D7C3F"/>
    <w:rsid w:val="004E07CE"/>
    <w:rsid w:val="004E137A"/>
    <w:rsid w:val="004E1F9C"/>
    <w:rsid w:val="004E2850"/>
    <w:rsid w:val="004E33A1"/>
    <w:rsid w:val="004E3489"/>
    <w:rsid w:val="004E3506"/>
    <w:rsid w:val="004E39FE"/>
    <w:rsid w:val="004E46A3"/>
    <w:rsid w:val="004E5054"/>
    <w:rsid w:val="004E6C72"/>
    <w:rsid w:val="004E7E20"/>
    <w:rsid w:val="004F060A"/>
    <w:rsid w:val="004F094F"/>
    <w:rsid w:val="004F0A79"/>
    <w:rsid w:val="004F0C97"/>
    <w:rsid w:val="004F13D1"/>
    <w:rsid w:val="004F2DF2"/>
    <w:rsid w:val="004F3F7B"/>
    <w:rsid w:val="004F512E"/>
    <w:rsid w:val="004F58AB"/>
    <w:rsid w:val="004F5DEA"/>
    <w:rsid w:val="004F5F14"/>
    <w:rsid w:val="004F5FCD"/>
    <w:rsid w:val="004F618B"/>
    <w:rsid w:val="004F66D8"/>
    <w:rsid w:val="004F6E61"/>
    <w:rsid w:val="004F761C"/>
    <w:rsid w:val="004F7960"/>
    <w:rsid w:val="005001B7"/>
    <w:rsid w:val="005006B1"/>
    <w:rsid w:val="00500DE3"/>
    <w:rsid w:val="00501B04"/>
    <w:rsid w:val="00502AF3"/>
    <w:rsid w:val="00502BB4"/>
    <w:rsid w:val="005043FF"/>
    <w:rsid w:val="00504652"/>
    <w:rsid w:val="005059DC"/>
    <w:rsid w:val="0050692A"/>
    <w:rsid w:val="00506B54"/>
    <w:rsid w:val="00506FC9"/>
    <w:rsid w:val="00510163"/>
    <w:rsid w:val="0051049B"/>
    <w:rsid w:val="00510BFA"/>
    <w:rsid w:val="00510C09"/>
    <w:rsid w:val="00511391"/>
    <w:rsid w:val="005114E3"/>
    <w:rsid w:val="00511776"/>
    <w:rsid w:val="00511971"/>
    <w:rsid w:val="00511C3F"/>
    <w:rsid w:val="0051200A"/>
    <w:rsid w:val="005122C0"/>
    <w:rsid w:val="005125CC"/>
    <w:rsid w:val="005135BB"/>
    <w:rsid w:val="00513796"/>
    <w:rsid w:val="00513E6B"/>
    <w:rsid w:val="00514403"/>
    <w:rsid w:val="0051446B"/>
    <w:rsid w:val="005147B6"/>
    <w:rsid w:val="00514C8C"/>
    <w:rsid w:val="00515745"/>
    <w:rsid w:val="0051643C"/>
    <w:rsid w:val="005167CE"/>
    <w:rsid w:val="00517037"/>
    <w:rsid w:val="0051759D"/>
    <w:rsid w:val="005177C3"/>
    <w:rsid w:val="0052092C"/>
    <w:rsid w:val="005214F7"/>
    <w:rsid w:val="005222B6"/>
    <w:rsid w:val="0052250E"/>
    <w:rsid w:val="00522521"/>
    <w:rsid w:val="00522A0C"/>
    <w:rsid w:val="00523271"/>
    <w:rsid w:val="005234B8"/>
    <w:rsid w:val="005236D3"/>
    <w:rsid w:val="00523C72"/>
    <w:rsid w:val="00524C05"/>
    <w:rsid w:val="00525A8B"/>
    <w:rsid w:val="00527A44"/>
    <w:rsid w:val="00527DAD"/>
    <w:rsid w:val="0053008F"/>
    <w:rsid w:val="005309CE"/>
    <w:rsid w:val="00532710"/>
    <w:rsid w:val="005329F3"/>
    <w:rsid w:val="005330E2"/>
    <w:rsid w:val="00533189"/>
    <w:rsid w:val="005333D2"/>
    <w:rsid w:val="0053342E"/>
    <w:rsid w:val="00533624"/>
    <w:rsid w:val="00533710"/>
    <w:rsid w:val="00534A6F"/>
    <w:rsid w:val="00534D33"/>
    <w:rsid w:val="00534D7A"/>
    <w:rsid w:val="00535000"/>
    <w:rsid w:val="005359EB"/>
    <w:rsid w:val="00535E67"/>
    <w:rsid w:val="00536379"/>
    <w:rsid w:val="0054070A"/>
    <w:rsid w:val="0054081C"/>
    <w:rsid w:val="00540F54"/>
    <w:rsid w:val="00541033"/>
    <w:rsid w:val="005410CF"/>
    <w:rsid w:val="00541554"/>
    <w:rsid w:val="00541B69"/>
    <w:rsid w:val="00542AFB"/>
    <w:rsid w:val="00542DB1"/>
    <w:rsid w:val="00542FA5"/>
    <w:rsid w:val="00544E81"/>
    <w:rsid w:val="00545105"/>
    <w:rsid w:val="00545395"/>
    <w:rsid w:val="00545884"/>
    <w:rsid w:val="0054598B"/>
    <w:rsid w:val="00545D2D"/>
    <w:rsid w:val="005464AC"/>
    <w:rsid w:val="005467D8"/>
    <w:rsid w:val="00546995"/>
    <w:rsid w:val="00546FBB"/>
    <w:rsid w:val="0054738A"/>
    <w:rsid w:val="0054777C"/>
    <w:rsid w:val="005477BA"/>
    <w:rsid w:val="00547A4C"/>
    <w:rsid w:val="00547D9A"/>
    <w:rsid w:val="005502A1"/>
    <w:rsid w:val="005506A0"/>
    <w:rsid w:val="00550C19"/>
    <w:rsid w:val="00551453"/>
    <w:rsid w:val="005518A4"/>
    <w:rsid w:val="005524E9"/>
    <w:rsid w:val="00553388"/>
    <w:rsid w:val="00553441"/>
    <w:rsid w:val="00553944"/>
    <w:rsid w:val="00553C8F"/>
    <w:rsid w:val="00554106"/>
    <w:rsid w:val="00554142"/>
    <w:rsid w:val="00555219"/>
    <w:rsid w:val="00555298"/>
    <w:rsid w:val="0055571D"/>
    <w:rsid w:val="005563A9"/>
    <w:rsid w:val="00556BE5"/>
    <w:rsid w:val="005578F2"/>
    <w:rsid w:val="005608ED"/>
    <w:rsid w:val="00560A96"/>
    <w:rsid w:val="00560FE3"/>
    <w:rsid w:val="00561936"/>
    <w:rsid w:val="00561B2D"/>
    <w:rsid w:val="00562193"/>
    <w:rsid w:val="00562D57"/>
    <w:rsid w:val="00563263"/>
    <w:rsid w:val="00563997"/>
    <w:rsid w:val="00563EF0"/>
    <w:rsid w:val="00563F88"/>
    <w:rsid w:val="00565978"/>
    <w:rsid w:val="005659C6"/>
    <w:rsid w:val="005672B3"/>
    <w:rsid w:val="005708D0"/>
    <w:rsid w:val="00572085"/>
    <w:rsid w:val="0057216C"/>
    <w:rsid w:val="00572A4B"/>
    <w:rsid w:val="00572B39"/>
    <w:rsid w:val="00573523"/>
    <w:rsid w:val="00573CA4"/>
    <w:rsid w:val="0057416B"/>
    <w:rsid w:val="00574ADE"/>
    <w:rsid w:val="00574C37"/>
    <w:rsid w:val="005755C7"/>
    <w:rsid w:val="00575E65"/>
    <w:rsid w:val="00576125"/>
    <w:rsid w:val="00576AC9"/>
    <w:rsid w:val="00576B10"/>
    <w:rsid w:val="005774BB"/>
    <w:rsid w:val="00577830"/>
    <w:rsid w:val="005805E6"/>
    <w:rsid w:val="0058072A"/>
    <w:rsid w:val="005808F4"/>
    <w:rsid w:val="00580D34"/>
    <w:rsid w:val="005815AC"/>
    <w:rsid w:val="00582986"/>
    <w:rsid w:val="0058348C"/>
    <w:rsid w:val="00584BA3"/>
    <w:rsid w:val="00584DF6"/>
    <w:rsid w:val="00584F5C"/>
    <w:rsid w:val="00585200"/>
    <w:rsid w:val="00585B51"/>
    <w:rsid w:val="00586395"/>
    <w:rsid w:val="005875BE"/>
    <w:rsid w:val="005879AA"/>
    <w:rsid w:val="00587A29"/>
    <w:rsid w:val="00591777"/>
    <w:rsid w:val="00592A11"/>
    <w:rsid w:val="005933D6"/>
    <w:rsid w:val="00595688"/>
    <w:rsid w:val="00596135"/>
    <w:rsid w:val="00596BD0"/>
    <w:rsid w:val="0059794D"/>
    <w:rsid w:val="005A0A82"/>
    <w:rsid w:val="005A14AF"/>
    <w:rsid w:val="005A14F3"/>
    <w:rsid w:val="005A190E"/>
    <w:rsid w:val="005A1C3B"/>
    <w:rsid w:val="005A250C"/>
    <w:rsid w:val="005A257A"/>
    <w:rsid w:val="005A2594"/>
    <w:rsid w:val="005A327E"/>
    <w:rsid w:val="005A33A0"/>
    <w:rsid w:val="005A33B2"/>
    <w:rsid w:val="005A3A10"/>
    <w:rsid w:val="005A3C92"/>
    <w:rsid w:val="005A4408"/>
    <w:rsid w:val="005A47F9"/>
    <w:rsid w:val="005A52E8"/>
    <w:rsid w:val="005A5382"/>
    <w:rsid w:val="005A6D31"/>
    <w:rsid w:val="005A75BC"/>
    <w:rsid w:val="005B005C"/>
    <w:rsid w:val="005B023E"/>
    <w:rsid w:val="005B0781"/>
    <w:rsid w:val="005B1153"/>
    <w:rsid w:val="005B248D"/>
    <w:rsid w:val="005B2910"/>
    <w:rsid w:val="005B2A13"/>
    <w:rsid w:val="005B2A46"/>
    <w:rsid w:val="005B2F75"/>
    <w:rsid w:val="005B3094"/>
    <w:rsid w:val="005B40A7"/>
    <w:rsid w:val="005B40DB"/>
    <w:rsid w:val="005B413C"/>
    <w:rsid w:val="005B447C"/>
    <w:rsid w:val="005B45F9"/>
    <w:rsid w:val="005B49FA"/>
    <w:rsid w:val="005B4AB1"/>
    <w:rsid w:val="005B577C"/>
    <w:rsid w:val="005B59BD"/>
    <w:rsid w:val="005B5AD7"/>
    <w:rsid w:val="005B67E2"/>
    <w:rsid w:val="005B6E8C"/>
    <w:rsid w:val="005B7217"/>
    <w:rsid w:val="005B75AC"/>
    <w:rsid w:val="005B7C4E"/>
    <w:rsid w:val="005B7D3A"/>
    <w:rsid w:val="005B7EB4"/>
    <w:rsid w:val="005C11FC"/>
    <w:rsid w:val="005C1209"/>
    <w:rsid w:val="005C12B4"/>
    <w:rsid w:val="005C4AEB"/>
    <w:rsid w:val="005C4EA5"/>
    <w:rsid w:val="005C5AAD"/>
    <w:rsid w:val="005C5D60"/>
    <w:rsid w:val="005C6D66"/>
    <w:rsid w:val="005C715C"/>
    <w:rsid w:val="005D1AC2"/>
    <w:rsid w:val="005D1BBA"/>
    <w:rsid w:val="005D2634"/>
    <w:rsid w:val="005D2A9F"/>
    <w:rsid w:val="005D2E49"/>
    <w:rsid w:val="005D49D4"/>
    <w:rsid w:val="005D5DAD"/>
    <w:rsid w:val="005D5E9F"/>
    <w:rsid w:val="005D6008"/>
    <w:rsid w:val="005D6E2A"/>
    <w:rsid w:val="005E336A"/>
    <w:rsid w:val="005E401F"/>
    <w:rsid w:val="005E41DE"/>
    <w:rsid w:val="005E45A0"/>
    <w:rsid w:val="005E4990"/>
    <w:rsid w:val="005E5F7E"/>
    <w:rsid w:val="005E7129"/>
    <w:rsid w:val="005E74AE"/>
    <w:rsid w:val="005E785D"/>
    <w:rsid w:val="005E79AD"/>
    <w:rsid w:val="005E7C95"/>
    <w:rsid w:val="005E7D64"/>
    <w:rsid w:val="005F0AE1"/>
    <w:rsid w:val="005F0D17"/>
    <w:rsid w:val="005F2784"/>
    <w:rsid w:val="005F2D4A"/>
    <w:rsid w:val="005F3CF2"/>
    <w:rsid w:val="005F3DE8"/>
    <w:rsid w:val="005F3F23"/>
    <w:rsid w:val="005F54CE"/>
    <w:rsid w:val="005F67DA"/>
    <w:rsid w:val="005F789F"/>
    <w:rsid w:val="005F7C6C"/>
    <w:rsid w:val="00600B00"/>
    <w:rsid w:val="00600E3F"/>
    <w:rsid w:val="006021B5"/>
    <w:rsid w:val="00602AD7"/>
    <w:rsid w:val="0060303C"/>
    <w:rsid w:val="00603268"/>
    <w:rsid w:val="0060360A"/>
    <w:rsid w:val="006045D6"/>
    <w:rsid w:val="006050BC"/>
    <w:rsid w:val="00605883"/>
    <w:rsid w:val="00606001"/>
    <w:rsid w:val="006068B0"/>
    <w:rsid w:val="0060709C"/>
    <w:rsid w:val="00607172"/>
    <w:rsid w:val="0060758E"/>
    <w:rsid w:val="0060791F"/>
    <w:rsid w:val="00607E53"/>
    <w:rsid w:val="0061046F"/>
    <w:rsid w:val="006105A3"/>
    <w:rsid w:val="00610BCA"/>
    <w:rsid w:val="00611984"/>
    <w:rsid w:val="00612914"/>
    <w:rsid w:val="00612DD7"/>
    <w:rsid w:val="00612EDF"/>
    <w:rsid w:val="006130D7"/>
    <w:rsid w:val="006139AD"/>
    <w:rsid w:val="00613BB5"/>
    <w:rsid w:val="00613F71"/>
    <w:rsid w:val="006147D0"/>
    <w:rsid w:val="00614C3D"/>
    <w:rsid w:val="00615A8E"/>
    <w:rsid w:val="00615C29"/>
    <w:rsid w:val="00615FDF"/>
    <w:rsid w:val="00616A5E"/>
    <w:rsid w:val="00617565"/>
    <w:rsid w:val="00617899"/>
    <w:rsid w:val="006217C8"/>
    <w:rsid w:val="00621826"/>
    <w:rsid w:val="00621BFA"/>
    <w:rsid w:val="00621EAC"/>
    <w:rsid w:val="00622409"/>
    <w:rsid w:val="006229C2"/>
    <w:rsid w:val="006230AF"/>
    <w:rsid w:val="006230F5"/>
    <w:rsid w:val="00623C94"/>
    <w:rsid w:val="006250F5"/>
    <w:rsid w:val="006250FE"/>
    <w:rsid w:val="006254E8"/>
    <w:rsid w:val="00625745"/>
    <w:rsid w:val="00625F7C"/>
    <w:rsid w:val="00627254"/>
    <w:rsid w:val="00627321"/>
    <w:rsid w:val="00627932"/>
    <w:rsid w:val="00627A2A"/>
    <w:rsid w:val="006305B7"/>
    <w:rsid w:val="0063237E"/>
    <w:rsid w:val="006326BC"/>
    <w:rsid w:val="0063302A"/>
    <w:rsid w:val="00633735"/>
    <w:rsid w:val="00633D89"/>
    <w:rsid w:val="00634017"/>
    <w:rsid w:val="00634EAB"/>
    <w:rsid w:val="00635B65"/>
    <w:rsid w:val="00635C3F"/>
    <w:rsid w:val="00635D20"/>
    <w:rsid w:val="00635D5F"/>
    <w:rsid w:val="00635EA5"/>
    <w:rsid w:val="006364F4"/>
    <w:rsid w:val="006369BF"/>
    <w:rsid w:val="00636A7B"/>
    <w:rsid w:val="00637958"/>
    <w:rsid w:val="00637C25"/>
    <w:rsid w:val="00640157"/>
    <w:rsid w:val="0064080D"/>
    <w:rsid w:val="006416B7"/>
    <w:rsid w:val="006416C7"/>
    <w:rsid w:val="006422DC"/>
    <w:rsid w:val="006422E7"/>
    <w:rsid w:val="00642CBD"/>
    <w:rsid w:val="00643245"/>
    <w:rsid w:val="006432AD"/>
    <w:rsid w:val="006433AF"/>
    <w:rsid w:val="0064361B"/>
    <w:rsid w:val="00643A5D"/>
    <w:rsid w:val="00643C3F"/>
    <w:rsid w:val="006450C9"/>
    <w:rsid w:val="00645495"/>
    <w:rsid w:val="006456EB"/>
    <w:rsid w:val="00645BFB"/>
    <w:rsid w:val="00646643"/>
    <w:rsid w:val="00646AB2"/>
    <w:rsid w:val="00647CB0"/>
    <w:rsid w:val="00650B32"/>
    <w:rsid w:val="0065107A"/>
    <w:rsid w:val="0065122A"/>
    <w:rsid w:val="00651553"/>
    <w:rsid w:val="00651595"/>
    <w:rsid w:val="00651A8F"/>
    <w:rsid w:val="00651C58"/>
    <w:rsid w:val="00651C86"/>
    <w:rsid w:val="00651F11"/>
    <w:rsid w:val="0065250A"/>
    <w:rsid w:val="00652802"/>
    <w:rsid w:val="00652D23"/>
    <w:rsid w:val="006542DA"/>
    <w:rsid w:val="00654384"/>
    <w:rsid w:val="00654EBC"/>
    <w:rsid w:val="00655B36"/>
    <w:rsid w:val="00655BF1"/>
    <w:rsid w:val="00655F68"/>
    <w:rsid w:val="006563F6"/>
    <w:rsid w:val="00660160"/>
    <w:rsid w:val="0066029D"/>
    <w:rsid w:val="006602B7"/>
    <w:rsid w:val="0066058E"/>
    <w:rsid w:val="00660880"/>
    <w:rsid w:val="00660E0B"/>
    <w:rsid w:val="006615D0"/>
    <w:rsid w:val="006617C6"/>
    <w:rsid w:val="00661DD4"/>
    <w:rsid w:val="00661F24"/>
    <w:rsid w:val="00662156"/>
    <w:rsid w:val="006624F0"/>
    <w:rsid w:val="00662CA2"/>
    <w:rsid w:val="00663A7B"/>
    <w:rsid w:val="00664524"/>
    <w:rsid w:val="006645B1"/>
    <w:rsid w:val="00664AC6"/>
    <w:rsid w:val="00664D6E"/>
    <w:rsid w:val="00670D19"/>
    <w:rsid w:val="006712E7"/>
    <w:rsid w:val="006716C2"/>
    <w:rsid w:val="0067262D"/>
    <w:rsid w:val="00673115"/>
    <w:rsid w:val="006731DA"/>
    <w:rsid w:val="0067331B"/>
    <w:rsid w:val="00674863"/>
    <w:rsid w:val="00675BD8"/>
    <w:rsid w:val="00676021"/>
    <w:rsid w:val="00676F51"/>
    <w:rsid w:val="006770ED"/>
    <w:rsid w:val="006772EF"/>
    <w:rsid w:val="0067764D"/>
    <w:rsid w:val="00680165"/>
    <w:rsid w:val="0068098A"/>
    <w:rsid w:val="00680C0C"/>
    <w:rsid w:val="00681A0E"/>
    <w:rsid w:val="006832EF"/>
    <w:rsid w:val="00683AD2"/>
    <w:rsid w:val="006856E0"/>
    <w:rsid w:val="006868D0"/>
    <w:rsid w:val="00686A75"/>
    <w:rsid w:val="006870B4"/>
    <w:rsid w:val="00687B9F"/>
    <w:rsid w:val="00687EBC"/>
    <w:rsid w:val="006900B7"/>
    <w:rsid w:val="006908C5"/>
    <w:rsid w:val="0069101C"/>
    <w:rsid w:val="00691A99"/>
    <w:rsid w:val="00691CAD"/>
    <w:rsid w:val="006929E9"/>
    <w:rsid w:val="00693666"/>
    <w:rsid w:val="00694115"/>
    <w:rsid w:val="00694EBE"/>
    <w:rsid w:val="00694F37"/>
    <w:rsid w:val="006951FA"/>
    <w:rsid w:val="006953AB"/>
    <w:rsid w:val="006960A1"/>
    <w:rsid w:val="006961C8"/>
    <w:rsid w:val="006971BC"/>
    <w:rsid w:val="006975B0"/>
    <w:rsid w:val="0069789B"/>
    <w:rsid w:val="00697B8F"/>
    <w:rsid w:val="00697DAA"/>
    <w:rsid w:val="00697FDB"/>
    <w:rsid w:val="006A0133"/>
    <w:rsid w:val="006A0575"/>
    <w:rsid w:val="006A0655"/>
    <w:rsid w:val="006A0A75"/>
    <w:rsid w:val="006A1307"/>
    <w:rsid w:val="006A1E83"/>
    <w:rsid w:val="006A29D4"/>
    <w:rsid w:val="006A36B7"/>
    <w:rsid w:val="006A45C4"/>
    <w:rsid w:val="006A45EA"/>
    <w:rsid w:val="006A4874"/>
    <w:rsid w:val="006A5660"/>
    <w:rsid w:val="006A5B57"/>
    <w:rsid w:val="006A66F0"/>
    <w:rsid w:val="006B0038"/>
    <w:rsid w:val="006B259D"/>
    <w:rsid w:val="006B289F"/>
    <w:rsid w:val="006B36AC"/>
    <w:rsid w:val="006B4180"/>
    <w:rsid w:val="006B43D7"/>
    <w:rsid w:val="006B48D3"/>
    <w:rsid w:val="006B52F2"/>
    <w:rsid w:val="006B5911"/>
    <w:rsid w:val="006B6B0F"/>
    <w:rsid w:val="006B6C46"/>
    <w:rsid w:val="006B7F03"/>
    <w:rsid w:val="006C0579"/>
    <w:rsid w:val="006C08D4"/>
    <w:rsid w:val="006C1C5F"/>
    <w:rsid w:val="006C226D"/>
    <w:rsid w:val="006C29B6"/>
    <w:rsid w:val="006C306E"/>
    <w:rsid w:val="006C31E8"/>
    <w:rsid w:val="006C5620"/>
    <w:rsid w:val="006C6597"/>
    <w:rsid w:val="006D00C6"/>
    <w:rsid w:val="006D028F"/>
    <w:rsid w:val="006D0E92"/>
    <w:rsid w:val="006D15BD"/>
    <w:rsid w:val="006D1C64"/>
    <w:rsid w:val="006D2320"/>
    <w:rsid w:val="006D2774"/>
    <w:rsid w:val="006D3794"/>
    <w:rsid w:val="006D3D8B"/>
    <w:rsid w:val="006D3E04"/>
    <w:rsid w:val="006D4ED3"/>
    <w:rsid w:val="006D4F6D"/>
    <w:rsid w:val="006D586B"/>
    <w:rsid w:val="006D619A"/>
    <w:rsid w:val="006D6E0B"/>
    <w:rsid w:val="006D7E7E"/>
    <w:rsid w:val="006E0EEA"/>
    <w:rsid w:val="006E10BA"/>
    <w:rsid w:val="006E1752"/>
    <w:rsid w:val="006E1EF3"/>
    <w:rsid w:val="006E20C0"/>
    <w:rsid w:val="006E31E1"/>
    <w:rsid w:val="006E3A8E"/>
    <w:rsid w:val="006E3F7A"/>
    <w:rsid w:val="006E6585"/>
    <w:rsid w:val="006E69A9"/>
    <w:rsid w:val="006E6E4B"/>
    <w:rsid w:val="006F1CB6"/>
    <w:rsid w:val="006F1DAA"/>
    <w:rsid w:val="006F2BCB"/>
    <w:rsid w:val="006F3965"/>
    <w:rsid w:val="006F4675"/>
    <w:rsid w:val="006F4694"/>
    <w:rsid w:val="006F4861"/>
    <w:rsid w:val="006F551E"/>
    <w:rsid w:val="006F584F"/>
    <w:rsid w:val="006F62C6"/>
    <w:rsid w:val="006F6684"/>
    <w:rsid w:val="006F699E"/>
    <w:rsid w:val="006F795D"/>
    <w:rsid w:val="006F7AC8"/>
    <w:rsid w:val="006F7F30"/>
    <w:rsid w:val="006F7F7E"/>
    <w:rsid w:val="0070010B"/>
    <w:rsid w:val="0070080D"/>
    <w:rsid w:val="00700861"/>
    <w:rsid w:val="00700D6A"/>
    <w:rsid w:val="00701095"/>
    <w:rsid w:val="007022DC"/>
    <w:rsid w:val="00702930"/>
    <w:rsid w:val="00702DA9"/>
    <w:rsid w:val="007035B7"/>
    <w:rsid w:val="007038C6"/>
    <w:rsid w:val="00703942"/>
    <w:rsid w:val="00703BAC"/>
    <w:rsid w:val="00703E30"/>
    <w:rsid w:val="0070458A"/>
    <w:rsid w:val="00705676"/>
    <w:rsid w:val="0070654B"/>
    <w:rsid w:val="00706CFC"/>
    <w:rsid w:val="00707966"/>
    <w:rsid w:val="00710C1E"/>
    <w:rsid w:val="0071147F"/>
    <w:rsid w:val="007118BE"/>
    <w:rsid w:val="00711A49"/>
    <w:rsid w:val="00711C39"/>
    <w:rsid w:val="00711D32"/>
    <w:rsid w:val="0071203E"/>
    <w:rsid w:val="00713207"/>
    <w:rsid w:val="007139AD"/>
    <w:rsid w:val="00713B97"/>
    <w:rsid w:val="00714338"/>
    <w:rsid w:val="0071471E"/>
    <w:rsid w:val="00714FE1"/>
    <w:rsid w:val="00714FFD"/>
    <w:rsid w:val="00715407"/>
    <w:rsid w:val="0071556F"/>
    <w:rsid w:val="00716127"/>
    <w:rsid w:val="00716B45"/>
    <w:rsid w:val="00717440"/>
    <w:rsid w:val="00720DB7"/>
    <w:rsid w:val="00720E5A"/>
    <w:rsid w:val="00720F52"/>
    <w:rsid w:val="00721307"/>
    <w:rsid w:val="00721549"/>
    <w:rsid w:val="00721B66"/>
    <w:rsid w:val="00721C9B"/>
    <w:rsid w:val="007228AB"/>
    <w:rsid w:val="007228F2"/>
    <w:rsid w:val="00722C94"/>
    <w:rsid w:val="00723915"/>
    <w:rsid w:val="00723A5E"/>
    <w:rsid w:val="007243ED"/>
    <w:rsid w:val="00725173"/>
    <w:rsid w:val="00725567"/>
    <w:rsid w:val="00726828"/>
    <w:rsid w:val="00726B99"/>
    <w:rsid w:val="007270AA"/>
    <w:rsid w:val="007275EE"/>
    <w:rsid w:val="0073020A"/>
    <w:rsid w:val="00730F92"/>
    <w:rsid w:val="00731127"/>
    <w:rsid w:val="00731261"/>
    <w:rsid w:val="007321DC"/>
    <w:rsid w:val="007323BA"/>
    <w:rsid w:val="00732B95"/>
    <w:rsid w:val="00732C26"/>
    <w:rsid w:val="00732CAB"/>
    <w:rsid w:val="00733180"/>
    <w:rsid w:val="00733BEE"/>
    <w:rsid w:val="00734D93"/>
    <w:rsid w:val="00734FE8"/>
    <w:rsid w:val="00736463"/>
    <w:rsid w:val="00736C13"/>
    <w:rsid w:val="00736C1D"/>
    <w:rsid w:val="00736EDF"/>
    <w:rsid w:val="00737C33"/>
    <w:rsid w:val="007407C9"/>
    <w:rsid w:val="0074171E"/>
    <w:rsid w:val="00742C27"/>
    <w:rsid w:val="0074333A"/>
    <w:rsid w:val="00743C21"/>
    <w:rsid w:val="00744235"/>
    <w:rsid w:val="00744379"/>
    <w:rsid w:val="00744E34"/>
    <w:rsid w:val="00744EDE"/>
    <w:rsid w:val="00744F39"/>
    <w:rsid w:val="00744F6E"/>
    <w:rsid w:val="007452AD"/>
    <w:rsid w:val="00745A28"/>
    <w:rsid w:val="00745FE0"/>
    <w:rsid w:val="0074641C"/>
    <w:rsid w:val="00746550"/>
    <w:rsid w:val="0074667B"/>
    <w:rsid w:val="00746748"/>
    <w:rsid w:val="0074705F"/>
    <w:rsid w:val="007470B3"/>
    <w:rsid w:val="00747CA2"/>
    <w:rsid w:val="00750084"/>
    <w:rsid w:val="00750C71"/>
    <w:rsid w:val="00750F7F"/>
    <w:rsid w:val="00750F92"/>
    <w:rsid w:val="0075143B"/>
    <w:rsid w:val="00751587"/>
    <w:rsid w:val="007519A6"/>
    <w:rsid w:val="0075377D"/>
    <w:rsid w:val="00753B5E"/>
    <w:rsid w:val="00754007"/>
    <w:rsid w:val="00754A9B"/>
    <w:rsid w:val="00754BBE"/>
    <w:rsid w:val="00754E63"/>
    <w:rsid w:val="00756548"/>
    <w:rsid w:val="00757149"/>
    <w:rsid w:val="00757971"/>
    <w:rsid w:val="007579A6"/>
    <w:rsid w:val="00760B39"/>
    <w:rsid w:val="00760DE2"/>
    <w:rsid w:val="00761805"/>
    <w:rsid w:val="00761A3E"/>
    <w:rsid w:val="007624E7"/>
    <w:rsid w:val="00762606"/>
    <w:rsid w:val="00762C0B"/>
    <w:rsid w:val="00762F6F"/>
    <w:rsid w:val="00764466"/>
    <w:rsid w:val="007658FA"/>
    <w:rsid w:val="007662D5"/>
    <w:rsid w:val="00766789"/>
    <w:rsid w:val="0076693F"/>
    <w:rsid w:val="00767D77"/>
    <w:rsid w:val="007706D9"/>
    <w:rsid w:val="00770F23"/>
    <w:rsid w:val="0077120A"/>
    <w:rsid w:val="0077141D"/>
    <w:rsid w:val="00771CA0"/>
    <w:rsid w:val="00771F37"/>
    <w:rsid w:val="00771FCA"/>
    <w:rsid w:val="00772172"/>
    <w:rsid w:val="007725DA"/>
    <w:rsid w:val="0077479B"/>
    <w:rsid w:val="007754E8"/>
    <w:rsid w:val="0077558C"/>
    <w:rsid w:val="007769B0"/>
    <w:rsid w:val="00776A06"/>
    <w:rsid w:val="00777584"/>
    <w:rsid w:val="00777B17"/>
    <w:rsid w:val="0078035C"/>
    <w:rsid w:val="00780371"/>
    <w:rsid w:val="007805A0"/>
    <w:rsid w:val="00780B44"/>
    <w:rsid w:val="00781822"/>
    <w:rsid w:val="007818F3"/>
    <w:rsid w:val="00781B65"/>
    <w:rsid w:val="0078251F"/>
    <w:rsid w:val="00782529"/>
    <w:rsid w:val="00782DFA"/>
    <w:rsid w:val="00783251"/>
    <w:rsid w:val="00783562"/>
    <w:rsid w:val="007836DF"/>
    <w:rsid w:val="00783F97"/>
    <w:rsid w:val="007842F0"/>
    <w:rsid w:val="00785274"/>
    <w:rsid w:val="00785D92"/>
    <w:rsid w:val="00786125"/>
    <w:rsid w:val="00786332"/>
    <w:rsid w:val="0078681C"/>
    <w:rsid w:val="00787629"/>
    <w:rsid w:val="00787A76"/>
    <w:rsid w:val="00787F42"/>
    <w:rsid w:val="0079025B"/>
    <w:rsid w:val="00790C55"/>
    <w:rsid w:val="00791F3B"/>
    <w:rsid w:val="007925EA"/>
    <w:rsid w:val="007935BE"/>
    <w:rsid w:val="00793DF9"/>
    <w:rsid w:val="0079448E"/>
    <w:rsid w:val="00794B23"/>
    <w:rsid w:val="0079579B"/>
    <w:rsid w:val="00795CE3"/>
    <w:rsid w:val="00796025"/>
    <w:rsid w:val="007968FD"/>
    <w:rsid w:val="00796FCD"/>
    <w:rsid w:val="007A0565"/>
    <w:rsid w:val="007A11DD"/>
    <w:rsid w:val="007A1214"/>
    <w:rsid w:val="007A135E"/>
    <w:rsid w:val="007A2EE9"/>
    <w:rsid w:val="007A31B0"/>
    <w:rsid w:val="007A31DE"/>
    <w:rsid w:val="007A350D"/>
    <w:rsid w:val="007A3883"/>
    <w:rsid w:val="007A3B94"/>
    <w:rsid w:val="007A3FFC"/>
    <w:rsid w:val="007A42E5"/>
    <w:rsid w:val="007A433F"/>
    <w:rsid w:val="007A5D3D"/>
    <w:rsid w:val="007A6609"/>
    <w:rsid w:val="007B026D"/>
    <w:rsid w:val="007B14EF"/>
    <w:rsid w:val="007B15FE"/>
    <w:rsid w:val="007B1766"/>
    <w:rsid w:val="007B1A88"/>
    <w:rsid w:val="007B1C11"/>
    <w:rsid w:val="007B20B7"/>
    <w:rsid w:val="007B25E1"/>
    <w:rsid w:val="007B2A5E"/>
    <w:rsid w:val="007B2AA8"/>
    <w:rsid w:val="007B3716"/>
    <w:rsid w:val="007B3E72"/>
    <w:rsid w:val="007B4146"/>
    <w:rsid w:val="007B4FE3"/>
    <w:rsid w:val="007B540F"/>
    <w:rsid w:val="007B5CC0"/>
    <w:rsid w:val="007B62E2"/>
    <w:rsid w:val="007B711F"/>
    <w:rsid w:val="007B7DD7"/>
    <w:rsid w:val="007C00C0"/>
    <w:rsid w:val="007C0134"/>
    <w:rsid w:val="007C07B8"/>
    <w:rsid w:val="007C1302"/>
    <w:rsid w:val="007C1495"/>
    <w:rsid w:val="007C14CC"/>
    <w:rsid w:val="007C1DFB"/>
    <w:rsid w:val="007C2B42"/>
    <w:rsid w:val="007C2C3C"/>
    <w:rsid w:val="007C4495"/>
    <w:rsid w:val="007C44A1"/>
    <w:rsid w:val="007C47E3"/>
    <w:rsid w:val="007C5534"/>
    <w:rsid w:val="007C5EC2"/>
    <w:rsid w:val="007C5FE4"/>
    <w:rsid w:val="007C6074"/>
    <w:rsid w:val="007C68EC"/>
    <w:rsid w:val="007C6CE0"/>
    <w:rsid w:val="007C716C"/>
    <w:rsid w:val="007C7398"/>
    <w:rsid w:val="007C773A"/>
    <w:rsid w:val="007C7EC4"/>
    <w:rsid w:val="007D03BA"/>
    <w:rsid w:val="007D0682"/>
    <w:rsid w:val="007D0971"/>
    <w:rsid w:val="007D0EE9"/>
    <w:rsid w:val="007D1456"/>
    <w:rsid w:val="007D1637"/>
    <w:rsid w:val="007D21E1"/>
    <w:rsid w:val="007D2282"/>
    <w:rsid w:val="007D2283"/>
    <w:rsid w:val="007D2415"/>
    <w:rsid w:val="007D253E"/>
    <w:rsid w:val="007D286B"/>
    <w:rsid w:val="007D2FDB"/>
    <w:rsid w:val="007D388F"/>
    <w:rsid w:val="007D3DEE"/>
    <w:rsid w:val="007D4462"/>
    <w:rsid w:val="007D555C"/>
    <w:rsid w:val="007D5651"/>
    <w:rsid w:val="007D5F14"/>
    <w:rsid w:val="007D679F"/>
    <w:rsid w:val="007D6E5A"/>
    <w:rsid w:val="007D6E91"/>
    <w:rsid w:val="007D6EAE"/>
    <w:rsid w:val="007D79C8"/>
    <w:rsid w:val="007E0A8A"/>
    <w:rsid w:val="007E0B19"/>
    <w:rsid w:val="007E130D"/>
    <w:rsid w:val="007E18D7"/>
    <w:rsid w:val="007E1B0B"/>
    <w:rsid w:val="007E1BE5"/>
    <w:rsid w:val="007E275D"/>
    <w:rsid w:val="007E2D58"/>
    <w:rsid w:val="007E32B5"/>
    <w:rsid w:val="007E3550"/>
    <w:rsid w:val="007E3B09"/>
    <w:rsid w:val="007E3D26"/>
    <w:rsid w:val="007E4485"/>
    <w:rsid w:val="007E4A38"/>
    <w:rsid w:val="007E4A44"/>
    <w:rsid w:val="007E54C4"/>
    <w:rsid w:val="007E5625"/>
    <w:rsid w:val="007E571F"/>
    <w:rsid w:val="007E579B"/>
    <w:rsid w:val="007E6AE3"/>
    <w:rsid w:val="007E74BB"/>
    <w:rsid w:val="007E7542"/>
    <w:rsid w:val="007F05D7"/>
    <w:rsid w:val="007F0C76"/>
    <w:rsid w:val="007F100B"/>
    <w:rsid w:val="007F1B6B"/>
    <w:rsid w:val="007F20C8"/>
    <w:rsid w:val="007F27B5"/>
    <w:rsid w:val="007F286F"/>
    <w:rsid w:val="007F31A9"/>
    <w:rsid w:val="007F3BB4"/>
    <w:rsid w:val="007F4366"/>
    <w:rsid w:val="007F4845"/>
    <w:rsid w:val="007F4BD1"/>
    <w:rsid w:val="007F5425"/>
    <w:rsid w:val="007F5D94"/>
    <w:rsid w:val="007F603B"/>
    <w:rsid w:val="007F6B17"/>
    <w:rsid w:val="007F6D06"/>
    <w:rsid w:val="007F7DFB"/>
    <w:rsid w:val="00800539"/>
    <w:rsid w:val="00800DDC"/>
    <w:rsid w:val="008014C2"/>
    <w:rsid w:val="008026BC"/>
    <w:rsid w:val="008030C2"/>
    <w:rsid w:val="00803213"/>
    <w:rsid w:val="0080354F"/>
    <w:rsid w:val="00804170"/>
    <w:rsid w:val="0080504A"/>
    <w:rsid w:val="0080540F"/>
    <w:rsid w:val="00806849"/>
    <w:rsid w:val="008079EE"/>
    <w:rsid w:val="00807BA8"/>
    <w:rsid w:val="0081043F"/>
    <w:rsid w:val="008106C3"/>
    <w:rsid w:val="008110AC"/>
    <w:rsid w:val="00811149"/>
    <w:rsid w:val="008115C1"/>
    <w:rsid w:val="00811FE5"/>
    <w:rsid w:val="008120AC"/>
    <w:rsid w:val="0081227C"/>
    <w:rsid w:val="00812DAE"/>
    <w:rsid w:val="00812EF7"/>
    <w:rsid w:val="00812F46"/>
    <w:rsid w:val="00813289"/>
    <w:rsid w:val="0081339B"/>
    <w:rsid w:val="00813EAB"/>
    <w:rsid w:val="00814E7C"/>
    <w:rsid w:val="0081506A"/>
    <w:rsid w:val="00815704"/>
    <w:rsid w:val="00815AD2"/>
    <w:rsid w:val="00815F1E"/>
    <w:rsid w:val="00816B4B"/>
    <w:rsid w:val="008171A8"/>
    <w:rsid w:val="0081732D"/>
    <w:rsid w:val="00817484"/>
    <w:rsid w:val="00820DAB"/>
    <w:rsid w:val="00821A78"/>
    <w:rsid w:val="008225A6"/>
    <w:rsid w:val="008238C7"/>
    <w:rsid w:val="00823EAC"/>
    <w:rsid w:val="0082448B"/>
    <w:rsid w:val="00825347"/>
    <w:rsid w:val="00825B3A"/>
    <w:rsid w:val="008263D7"/>
    <w:rsid w:val="008274CB"/>
    <w:rsid w:val="0082772E"/>
    <w:rsid w:val="00827A4F"/>
    <w:rsid w:val="00827F48"/>
    <w:rsid w:val="008303D5"/>
    <w:rsid w:val="00830A59"/>
    <w:rsid w:val="00830CF5"/>
    <w:rsid w:val="00831072"/>
    <w:rsid w:val="00831922"/>
    <w:rsid w:val="00831D37"/>
    <w:rsid w:val="008324B2"/>
    <w:rsid w:val="0083286A"/>
    <w:rsid w:val="00832974"/>
    <w:rsid w:val="00832D65"/>
    <w:rsid w:val="008331DE"/>
    <w:rsid w:val="00833D3E"/>
    <w:rsid w:val="00833F99"/>
    <w:rsid w:val="00835434"/>
    <w:rsid w:val="00835DEE"/>
    <w:rsid w:val="0083680F"/>
    <w:rsid w:val="008369DC"/>
    <w:rsid w:val="00836B57"/>
    <w:rsid w:val="0084019B"/>
    <w:rsid w:val="00840413"/>
    <w:rsid w:val="008406EB"/>
    <w:rsid w:val="00841039"/>
    <w:rsid w:val="008415DE"/>
    <w:rsid w:val="00842386"/>
    <w:rsid w:val="00843194"/>
    <w:rsid w:val="008432CC"/>
    <w:rsid w:val="00843AAC"/>
    <w:rsid w:val="008448CE"/>
    <w:rsid w:val="00844CFD"/>
    <w:rsid w:val="008458E7"/>
    <w:rsid w:val="00845D51"/>
    <w:rsid w:val="008462B8"/>
    <w:rsid w:val="00846416"/>
    <w:rsid w:val="008468A9"/>
    <w:rsid w:val="00847995"/>
    <w:rsid w:val="00847C2F"/>
    <w:rsid w:val="008503D4"/>
    <w:rsid w:val="0085055B"/>
    <w:rsid w:val="00850565"/>
    <w:rsid w:val="00851B15"/>
    <w:rsid w:val="00851E7B"/>
    <w:rsid w:val="008529B3"/>
    <w:rsid w:val="00853205"/>
    <w:rsid w:val="00853C84"/>
    <w:rsid w:val="00854F5B"/>
    <w:rsid w:val="00855D0F"/>
    <w:rsid w:val="00855FAC"/>
    <w:rsid w:val="00856689"/>
    <w:rsid w:val="0085714C"/>
    <w:rsid w:val="00857163"/>
    <w:rsid w:val="008574DD"/>
    <w:rsid w:val="00857575"/>
    <w:rsid w:val="00857646"/>
    <w:rsid w:val="008579BB"/>
    <w:rsid w:val="008622B2"/>
    <w:rsid w:val="0086247C"/>
    <w:rsid w:val="00862A99"/>
    <w:rsid w:val="0086310B"/>
    <w:rsid w:val="00864C64"/>
    <w:rsid w:val="00864E31"/>
    <w:rsid w:val="0086563D"/>
    <w:rsid w:val="0086579B"/>
    <w:rsid w:val="008667F5"/>
    <w:rsid w:val="008670C0"/>
    <w:rsid w:val="008676B9"/>
    <w:rsid w:val="00867739"/>
    <w:rsid w:val="008717F4"/>
    <w:rsid w:val="00871D2B"/>
    <w:rsid w:val="00872FFF"/>
    <w:rsid w:val="00874773"/>
    <w:rsid w:val="00874B13"/>
    <w:rsid w:val="00875CE2"/>
    <w:rsid w:val="00875D46"/>
    <w:rsid w:val="008767C8"/>
    <w:rsid w:val="00876ED1"/>
    <w:rsid w:val="00877310"/>
    <w:rsid w:val="00877893"/>
    <w:rsid w:val="00880AB7"/>
    <w:rsid w:val="008821E4"/>
    <w:rsid w:val="0088220B"/>
    <w:rsid w:val="008823B0"/>
    <w:rsid w:val="00882406"/>
    <w:rsid w:val="0088354C"/>
    <w:rsid w:val="008835DC"/>
    <w:rsid w:val="00884180"/>
    <w:rsid w:val="008842DE"/>
    <w:rsid w:val="0088488D"/>
    <w:rsid w:val="00884B06"/>
    <w:rsid w:val="0088580C"/>
    <w:rsid w:val="00885864"/>
    <w:rsid w:val="0088623E"/>
    <w:rsid w:val="00887515"/>
    <w:rsid w:val="00890297"/>
    <w:rsid w:val="00890B8A"/>
    <w:rsid w:val="0089119A"/>
    <w:rsid w:val="00891341"/>
    <w:rsid w:val="008916F3"/>
    <w:rsid w:val="00891C12"/>
    <w:rsid w:val="00891C94"/>
    <w:rsid w:val="0089264A"/>
    <w:rsid w:val="008930EA"/>
    <w:rsid w:val="00893572"/>
    <w:rsid w:val="00894C32"/>
    <w:rsid w:val="00896186"/>
    <w:rsid w:val="008967FC"/>
    <w:rsid w:val="0089694D"/>
    <w:rsid w:val="0089707D"/>
    <w:rsid w:val="00897E1E"/>
    <w:rsid w:val="008A012B"/>
    <w:rsid w:val="008A0B64"/>
    <w:rsid w:val="008A164A"/>
    <w:rsid w:val="008A16CD"/>
    <w:rsid w:val="008A196B"/>
    <w:rsid w:val="008A2124"/>
    <w:rsid w:val="008A25DF"/>
    <w:rsid w:val="008A390B"/>
    <w:rsid w:val="008A59CD"/>
    <w:rsid w:val="008A5A0D"/>
    <w:rsid w:val="008A5D91"/>
    <w:rsid w:val="008A695C"/>
    <w:rsid w:val="008A69EE"/>
    <w:rsid w:val="008A6A1F"/>
    <w:rsid w:val="008A703B"/>
    <w:rsid w:val="008A70F8"/>
    <w:rsid w:val="008A7E2A"/>
    <w:rsid w:val="008B05F4"/>
    <w:rsid w:val="008B0756"/>
    <w:rsid w:val="008B181B"/>
    <w:rsid w:val="008B1B07"/>
    <w:rsid w:val="008B21C2"/>
    <w:rsid w:val="008B262D"/>
    <w:rsid w:val="008B276A"/>
    <w:rsid w:val="008B27E4"/>
    <w:rsid w:val="008B3243"/>
    <w:rsid w:val="008B5180"/>
    <w:rsid w:val="008B518D"/>
    <w:rsid w:val="008B53C6"/>
    <w:rsid w:val="008B639E"/>
    <w:rsid w:val="008B677D"/>
    <w:rsid w:val="008B6836"/>
    <w:rsid w:val="008B7308"/>
    <w:rsid w:val="008B7541"/>
    <w:rsid w:val="008C002E"/>
    <w:rsid w:val="008C022C"/>
    <w:rsid w:val="008C0AFA"/>
    <w:rsid w:val="008C1DFE"/>
    <w:rsid w:val="008C34CA"/>
    <w:rsid w:val="008C43B2"/>
    <w:rsid w:val="008C43EA"/>
    <w:rsid w:val="008C49C9"/>
    <w:rsid w:val="008C543C"/>
    <w:rsid w:val="008C584C"/>
    <w:rsid w:val="008C66AB"/>
    <w:rsid w:val="008C6CCD"/>
    <w:rsid w:val="008C7CE2"/>
    <w:rsid w:val="008C7D82"/>
    <w:rsid w:val="008D05A2"/>
    <w:rsid w:val="008D2022"/>
    <w:rsid w:val="008D26B3"/>
    <w:rsid w:val="008D2C1E"/>
    <w:rsid w:val="008D2E65"/>
    <w:rsid w:val="008D382D"/>
    <w:rsid w:val="008D3C17"/>
    <w:rsid w:val="008D40A9"/>
    <w:rsid w:val="008D5364"/>
    <w:rsid w:val="008D6298"/>
    <w:rsid w:val="008D62BD"/>
    <w:rsid w:val="008D62C8"/>
    <w:rsid w:val="008D6BD1"/>
    <w:rsid w:val="008D7822"/>
    <w:rsid w:val="008E0527"/>
    <w:rsid w:val="008E0E00"/>
    <w:rsid w:val="008E0FDC"/>
    <w:rsid w:val="008E1327"/>
    <w:rsid w:val="008E1B8D"/>
    <w:rsid w:val="008E1C2E"/>
    <w:rsid w:val="008E2013"/>
    <w:rsid w:val="008E2AE6"/>
    <w:rsid w:val="008E47E1"/>
    <w:rsid w:val="008E49A4"/>
    <w:rsid w:val="008E4A1C"/>
    <w:rsid w:val="008E4C9C"/>
    <w:rsid w:val="008E5697"/>
    <w:rsid w:val="008E59D7"/>
    <w:rsid w:val="008E6B2C"/>
    <w:rsid w:val="008E7181"/>
    <w:rsid w:val="008E72BC"/>
    <w:rsid w:val="008F0B11"/>
    <w:rsid w:val="008F1031"/>
    <w:rsid w:val="008F11EC"/>
    <w:rsid w:val="008F187C"/>
    <w:rsid w:val="008F23FE"/>
    <w:rsid w:val="008F3573"/>
    <w:rsid w:val="008F39AA"/>
    <w:rsid w:val="008F4212"/>
    <w:rsid w:val="008F638C"/>
    <w:rsid w:val="008F7CD6"/>
    <w:rsid w:val="009003AC"/>
    <w:rsid w:val="009011E7"/>
    <w:rsid w:val="00901AE7"/>
    <w:rsid w:val="00902130"/>
    <w:rsid w:val="00902629"/>
    <w:rsid w:val="0090389C"/>
    <w:rsid w:val="00904991"/>
    <w:rsid w:val="00905503"/>
    <w:rsid w:val="0090598C"/>
    <w:rsid w:val="0090619F"/>
    <w:rsid w:val="00906966"/>
    <w:rsid w:val="00906EDA"/>
    <w:rsid w:val="009071ED"/>
    <w:rsid w:val="009100FF"/>
    <w:rsid w:val="00910DA0"/>
    <w:rsid w:val="009111A8"/>
    <w:rsid w:val="0091121D"/>
    <w:rsid w:val="00911476"/>
    <w:rsid w:val="00911E8E"/>
    <w:rsid w:val="00912EDA"/>
    <w:rsid w:val="009138CF"/>
    <w:rsid w:val="00914F71"/>
    <w:rsid w:val="0091629F"/>
    <w:rsid w:val="00916938"/>
    <w:rsid w:val="009175E8"/>
    <w:rsid w:val="0091783A"/>
    <w:rsid w:val="0092106C"/>
    <w:rsid w:val="0092231D"/>
    <w:rsid w:val="0092250B"/>
    <w:rsid w:val="00922AF9"/>
    <w:rsid w:val="00923445"/>
    <w:rsid w:val="009235A3"/>
    <w:rsid w:val="009237DC"/>
    <w:rsid w:val="00923E49"/>
    <w:rsid w:val="00924264"/>
    <w:rsid w:val="009257C4"/>
    <w:rsid w:val="00925868"/>
    <w:rsid w:val="00925F9B"/>
    <w:rsid w:val="0092603B"/>
    <w:rsid w:val="009261B4"/>
    <w:rsid w:val="0092631C"/>
    <w:rsid w:val="00926BA9"/>
    <w:rsid w:val="00926E67"/>
    <w:rsid w:val="00927356"/>
    <w:rsid w:val="00927697"/>
    <w:rsid w:val="00927B84"/>
    <w:rsid w:val="00927D77"/>
    <w:rsid w:val="009311CC"/>
    <w:rsid w:val="009312CC"/>
    <w:rsid w:val="0093135E"/>
    <w:rsid w:val="009318EF"/>
    <w:rsid w:val="0093265A"/>
    <w:rsid w:val="00932D08"/>
    <w:rsid w:val="00934392"/>
    <w:rsid w:val="0093458E"/>
    <w:rsid w:val="0093599B"/>
    <w:rsid w:val="00935AC7"/>
    <w:rsid w:val="009367A5"/>
    <w:rsid w:val="00937E68"/>
    <w:rsid w:val="00941C19"/>
    <w:rsid w:val="00941E02"/>
    <w:rsid w:val="00942083"/>
    <w:rsid w:val="009420CD"/>
    <w:rsid w:val="0094237B"/>
    <w:rsid w:val="009430DC"/>
    <w:rsid w:val="00943402"/>
    <w:rsid w:val="00943550"/>
    <w:rsid w:val="0094362E"/>
    <w:rsid w:val="00944845"/>
    <w:rsid w:val="00945485"/>
    <w:rsid w:val="0094588E"/>
    <w:rsid w:val="009466CD"/>
    <w:rsid w:val="00946EED"/>
    <w:rsid w:val="00947024"/>
    <w:rsid w:val="0094767B"/>
    <w:rsid w:val="00950329"/>
    <w:rsid w:val="0095173D"/>
    <w:rsid w:val="00951793"/>
    <w:rsid w:val="00952288"/>
    <w:rsid w:val="009529B0"/>
    <w:rsid w:val="00952F30"/>
    <w:rsid w:val="009536AC"/>
    <w:rsid w:val="00954030"/>
    <w:rsid w:val="009541FF"/>
    <w:rsid w:val="00954645"/>
    <w:rsid w:val="00954938"/>
    <w:rsid w:val="00954D7C"/>
    <w:rsid w:val="00954F03"/>
    <w:rsid w:val="00954F87"/>
    <w:rsid w:val="00955366"/>
    <w:rsid w:val="009555EB"/>
    <w:rsid w:val="00955A39"/>
    <w:rsid w:val="00955C5E"/>
    <w:rsid w:val="00955E21"/>
    <w:rsid w:val="00956C78"/>
    <w:rsid w:val="009572C4"/>
    <w:rsid w:val="00957F4A"/>
    <w:rsid w:val="00961AB8"/>
    <w:rsid w:val="009639EA"/>
    <w:rsid w:val="009641B9"/>
    <w:rsid w:val="00964466"/>
    <w:rsid w:val="00965A8B"/>
    <w:rsid w:val="00965B12"/>
    <w:rsid w:val="00967635"/>
    <w:rsid w:val="00967AC0"/>
    <w:rsid w:val="00967ADC"/>
    <w:rsid w:val="00970320"/>
    <w:rsid w:val="00970BBF"/>
    <w:rsid w:val="00971668"/>
    <w:rsid w:val="00971FBE"/>
    <w:rsid w:val="00972BE5"/>
    <w:rsid w:val="00972CC2"/>
    <w:rsid w:val="00972F32"/>
    <w:rsid w:val="009734CE"/>
    <w:rsid w:val="009742EB"/>
    <w:rsid w:val="0097477F"/>
    <w:rsid w:val="00975B6B"/>
    <w:rsid w:val="0097675E"/>
    <w:rsid w:val="0097676D"/>
    <w:rsid w:val="00976E35"/>
    <w:rsid w:val="00977E57"/>
    <w:rsid w:val="00980308"/>
    <w:rsid w:val="00981131"/>
    <w:rsid w:val="00982823"/>
    <w:rsid w:val="009830BF"/>
    <w:rsid w:val="00983B1D"/>
    <w:rsid w:val="00984C1C"/>
    <w:rsid w:val="00984E59"/>
    <w:rsid w:val="00985234"/>
    <w:rsid w:val="009854D8"/>
    <w:rsid w:val="00985586"/>
    <w:rsid w:val="009868D8"/>
    <w:rsid w:val="00986B94"/>
    <w:rsid w:val="009877AA"/>
    <w:rsid w:val="00990FAF"/>
    <w:rsid w:val="00991125"/>
    <w:rsid w:val="009913F0"/>
    <w:rsid w:val="009919B6"/>
    <w:rsid w:val="00992168"/>
    <w:rsid w:val="0099219D"/>
    <w:rsid w:val="00992626"/>
    <w:rsid w:val="00992726"/>
    <w:rsid w:val="009933D0"/>
    <w:rsid w:val="00993939"/>
    <w:rsid w:val="00993BD4"/>
    <w:rsid w:val="00994000"/>
    <w:rsid w:val="00995790"/>
    <w:rsid w:val="00995C2E"/>
    <w:rsid w:val="00996B2D"/>
    <w:rsid w:val="00997D80"/>
    <w:rsid w:val="009A0DF4"/>
    <w:rsid w:val="009A0E7A"/>
    <w:rsid w:val="009A1B81"/>
    <w:rsid w:val="009A29BC"/>
    <w:rsid w:val="009A3B29"/>
    <w:rsid w:val="009A3E46"/>
    <w:rsid w:val="009A3FA2"/>
    <w:rsid w:val="009A52A0"/>
    <w:rsid w:val="009A5E8E"/>
    <w:rsid w:val="009A631D"/>
    <w:rsid w:val="009A7423"/>
    <w:rsid w:val="009A7B2D"/>
    <w:rsid w:val="009A7F26"/>
    <w:rsid w:val="009B1270"/>
    <w:rsid w:val="009B1569"/>
    <w:rsid w:val="009B15C8"/>
    <w:rsid w:val="009B168F"/>
    <w:rsid w:val="009B1AF8"/>
    <w:rsid w:val="009B1E28"/>
    <w:rsid w:val="009B2011"/>
    <w:rsid w:val="009B2EA7"/>
    <w:rsid w:val="009B4186"/>
    <w:rsid w:val="009B600A"/>
    <w:rsid w:val="009B65D9"/>
    <w:rsid w:val="009B6B89"/>
    <w:rsid w:val="009B7356"/>
    <w:rsid w:val="009B74FC"/>
    <w:rsid w:val="009B7B34"/>
    <w:rsid w:val="009B7F14"/>
    <w:rsid w:val="009C0980"/>
    <w:rsid w:val="009C0C6E"/>
    <w:rsid w:val="009C153F"/>
    <w:rsid w:val="009C1848"/>
    <w:rsid w:val="009C197C"/>
    <w:rsid w:val="009C35DE"/>
    <w:rsid w:val="009C4576"/>
    <w:rsid w:val="009C4C8C"/>
    <w:rsid w:val="009C5059"/>
    <w:rsid w:val="009C50EB"/>
    <w:rsid w:val="009C64CC"/>
    <w:rsid w:val="009C767D"/>
    <w:rsid w:val="009C79EB"/>
    <w:rsid w:val="009C7B7F"/>
    <w:rsid w:val="009C7E6B"/>
    <w:rsid w:val="009D0D1D"/>
    <w:rsid w:val="009D106D"/>
    <w:rsid w:val="009D117A"/>
    <w:rsid w:val="009D184B"/>
    <w:rsid w:val="009D1DB6"/>
    <w:rsid w:val="009D4EEF"/>
    <w:rsid w:val="009D6CB6"/>
    <w:rsid w:val="009D711D"/>
    <w:rsid w:val="009D76B1"/>
    <w:rsid w:val="009D7AF9"/>
    <w:rsid w:val="009E07F2"/>
    <w:rsid w:val="009E1948"/>
    <w:rsid w:val="009E2518"/>
    <w:rsid w:val="009E27DE"/>
    <w:rsid w:val="009E2F89"/>
    <w:rsid w:val="009E31EB"/>
    <w:rsid w:val="009E3DAC"/>
    <w:rsid w:val="009E53AD"/>
    <w:rsid w:val="009E568F"/>
    <w:rsid w:val="009E58EC"/>
    <w:rsid w:val="009E6AD3"/>
    <w:rsid w:val="009E6BBB"/>
    <w:rsid w:val="009E7180"/>
    <w:rsid w:val="009E72F4"/>
    <w:rsid w:val="009E7C9F"/>
    <w:rsid w:val="009E7E17"/>
    <w:rsid w:val="009E7EAD"/>
    <w:rsid w:val="009EA386"/>
    <w:rsid w:val="009F0C70"/>
    <w:rsid w:val="009F13E6"/>
    <w:rsid w:val="009F21A9"/>
    <w:rsid w:val="009F2D9F"/>
    <w:rsid w:val="009F33A2"/>
    <w:rsid w:val="009F3779"/>
    <w:rsid w:val="009F40BD"/>
    <w:rsid w:val="009F4740"/>
    <w:rsid w:val="009F52A2"/>
    <w:rsid w:val="009F5909"/>
    <w:rsid w:val="009F634D"/>
    <w:rsid w:val="009F6CD0"/>
    <w:rsid w:val="00A00512"/>
    <w:rsid w:val="00A0106B"/>
    <w:rsid w:val="00A012DB"/>
    <w:rsid w:val="00A016CD"/>
    <w:rsid w:val="00A01C46"/>
    <w:rsid w:val="00A0214D"/>
    <w:rsid w:val="00A02514"/>
    <w:rsid w:val="00A02B44"/>
    <w:rsid w:val="00A02DB8"/>
    <w:rsid w:val="00A04006"/>
    <w:rsid w:val="00A05997"/>
    <w:rsid w:val="00A05DEA"/>
    <w:rsid w:val="00A060D4"/>
    <w:rsid w:val="00A06FE2"/>
    <w:rsid w:val="00A07259"/>
    <w:rsid w:val="00A0776E"/>
    <w:rsid w:val="00A10660"/>
    <w:rsid w:val="00A1068A"/>
    <w:rsid w:val="00A115BE"/>
    <w:rsid w:val="00A1234E"/>
    <w:rsid w:val="00A1337A"/>
    <w:rsid w:val="00A135AC"/>
    <w:rsid w:val="00A14371"/>
    <w:rsid w:val="00A14870"/>
    <w:rsid w:val="00A14EBF"/>
    <w:rsid w:val="00A15140"/>
    <w:rsid w:val="00A156A9"/>
    <w:rsid w:val="00A15743"/>
    <w:rsid w:val="00A15B3C"/>
    <w:rsid w:val="00A165C0"/>
    <w:rsid w:val="00A1674D"/>
    <w:rsid w:val="00A16E77"/>
    <w:rsid w:val="00A172A0"/>
    <w:rsid w:val="00A17F23"/>
    <w:rsid w:val="00A20347"/>
    <w:rsid w:val="00A217CF"/>
    <w:rsid w:val="00A21E41"/>
    <w:rsid w:val="00A22804"/>
    <w:rsid w:val="00A229A6"/>
    <w:rsid w:val="00A23874"/>
    <w:rsid w:val="00A243AF"/>
    <w:rsid w:val="00A243CA"/>
    <w:rsid w:val="00A248BD"/>
    <w:rsid w:val="00A24EE1"/>
    <w:rsid w:val="00A2694A"/>
    <w:rsid w:val="00A2733E"/>
    <w:rsid w:val="00A27556"/>
    <w:rsid w:val="00A2769C"/>
    <w:rsid w:val="00A27F59"/>
    <w:rsid w:val="00A309AA"/>
    <w:rsid w:val="00A318A0"/>
    <w:rsid w:val="00A31D42"/>
    <w:rsid w:val="00A33B71"/>
    <w:rsid w:val="00A34FEB"/>
    <w:rsid w:val="00A3517D"/>
    <w:rsid w:val="00A35CA4"/>
    <w:rsid w:val="00A35CF0"/>
    <w:rsid w:val="00A35D79"/>
    <w:rsid w:val="00A35ED9"/>
    <w:rsid w:val="00A360C0"/>
    <w:rsid w:val="00A36CA9"/>
    <w:rsid w:val="00A4060F"/>
    <w:rsid w:val="00A41207"/>
    <w:rsid w:val="00A419A4"/>
    <w:rsid w:val="00A42051"/>
    <w:rsid w:val="00A42961"/>
    <w:rsid w:val="00A42D38"/>
    <w:rsid w:val="00A43706"/>
    <w:rsid w:val="00A43B0B"/>
    <w:rsid w:val="00A44216"/>
    <w:rsid w:val="00A4457A"/>
    <w:rsid w:val="00A44A5F"/>
    <w:rsid w:val="00A450FA"/>
    <w:rsid w:val="00A463B2"/>
    <w:rsid w:val="00A4672F"/>
    <w:rsid w:val="00A475C6"/>
    <w:rsid w:val="00A506D9"/>
    <w:rsid w:val="00A5101E"/>
    <w:rsid w:val="00A510A0"/>
    <w:rsid w:val="00A51795"/>
    <w:rsid w:val="00A52509"/>
    <w:rsid w:val="00A5288B"/>
    <w:rsid w:val="00A52899"/>
    <w:rsid w:val="00A53B04"/>
    <w:rsid w:val="00A53B33"/>
    <w:rsid w:val="00A54488"/>
    <w:rsid w:val="00A54A76"/>
    <w:rsid w:val="00A56549"/>
    <w:rsid w:val="00A56EE1"/>
    <w:rsid w:val="00A57CFD"/>
    <w:rsid w:val="00A601AC"/>
    <w:rsid w:val="00A609C2"/>
    <w:rsid w:val="00A60B68"/>
    <w:rsid w:val="00A63335"/>
    <w:rsid w:val="00A63983"/>
    <w:rsid w:val="00A63CB7"/>
    <w:rsid w:val="00A64842"/>
    <w:rsid w:val="00A65397"/>
    <w:rsid w:val="00A65423"/>
    <w:rsid w:val="00A659FD"/>
    <w:rsid w:val="00A65B32"/>
    <w:rsid w:val="00A66CBD"/>
    <w:rsid w:val="00A670D4"/>
    <w:rsid w:val="00A67DE5"/>
    <w:rsid w:val="00A67F8C"/>
    <w:rsid w:val="00A70C19"/>
    <w:rsid w:val="00A70C25"/>
    <w:rsid w:val="00A71D79"/>
    <w:rsid w:val="00A71E09"/>
    <w:rsid w:val="00A721D6"/>
    <w:rsid w:val="00A73063"/>
    <w:rsid w:val="00A73207"/>
    <w:rsid w:val="00A7320B"/>
    <w:rsid w:val="00A73697"/>
    <w:rsid w:val="00A75E21"/>
    <w:rsid w:val="00A75F35"/>
    <w:rsid w:val="00A7604D"/>
    <w:rsid w:val="00A768B5"/>
    <w:rsid w:val="00A80D86"/>
    <w:rsid w:val="00A81C3A"/>
    <w:rsid w:val="00A83C48"/>
    <w:rsid w:val="00A840FC"/>
    <w:rsid w:val="00A85316"/>
    <w:rsid w:val="00A85A7A"/>
    <w:rsid w:val="00A865C8"/>
    <w:rsid w:val="00A86A9C"/>
    <w:rsid w:val="00A86AB3"/>
    <w:rsid w:val="00A86D35"/>
    <w:rsid w:val="00A86F1D"/>
    <w:rsid w:val="00A8766B"/>
    <w:rsid w:val="00A87746"/>
    <w:rsid w:val="00A8774E"/>
    <w:rsid w:val="00A87D11"/>
    <w:rsid w:val="00A90305"/>
    <w:rsid w:val="00A90BEA"/>
    <w:rsid w:val="00A9143A"/>
    <w:rsid w:val="00A925AD"/>
    <w:rsid w:val="00A92CE8"/>
    <w:rsid w:val="00A94655"/>
    <w:rsid w:val="00A94AF6"/>
    <w:rsid w:val="00A94D41"/>
    <w:rsid w:val="00A9507D"/>
    <w:rsid w:val="00A95524"/>
    <w:rsid w:val="00A95AD5"/>
    <w:rsid w:val="00AA0F4B"/>
    <w:rsid w:val="00AA1D23"/>
    <w:rsid w:val="00AA1D7A"/>
    <w:rsid w:val="00AA417E"/>
    <w:rsid w:val="00AA4CBC"/>
    <w:rsid w:val="00AA4D86"/>
    <w:rsid w:val="00AA523B"/>
    <w:rsid w:val="00AA52D0"/>
    <w:rsid w:val="00AA615A"/>
    <w:rsid w:val="00AA7A90"/>
    <w:rsid w:val="00AB0316"/>
    <w:rsid w:val="00AB1489"/>
    <w:rsid w:val="00AB216D"/>
    <w:rsid w:val="00AB2EFF"/>
    <w:rsid w:val="00AB376B"/>
    <w:rsid w:val="00AB3F33"/>
    <w:rsid w:val="00AB4218"/>
    <w:rsid w:val="00AB4513"/>
    <w:rsid w:val="00AB46C9"/>
    <w:rsid w:val="00AB49CD"/>
    <w:rsid w:val="00AB4F7F"/>
    <w:rsid w:val="00AB5E55"/>
    <w:rsid w:val="00AB62F1"/>
    <w:rsid w:val="00AB65EB"/>
    <w:rsid w:val="00AB706A"/>
    <w:rsid w:val="00AB711F"/>
    <w:rsid w:val="00AB7D31"/>
    <w:rsid w:val="00AC0307"/>
    <w:rsid w:val="00AC13C5"/>
    <w:rsid w:val="00AC1D33"/>
    <w:rsid w:val="00AC1EA6"/>
    <w:rsid w:val="00AC2679"/>
    <w:rsid w:val="00AC32EB"/>
    <w:rsid w:val="00AC33DF"/>
    <w:rsid w:val="00AC3D1B"/>
    <w:rsid w:val="00AC4216"/>
    <w:rsid w:val="00AC4968"/>
    <w:rsid w:val="00AC6078"/>
    <w:rsid w:val="00AC669B"/>
    <w:rsid w:val="00AC798B"/>
    <w:rsid w:val="00AD0A83"/>
    <w:rsid w:val="00AD0FEB"/>
    <w:rsid w:val="00AD0FFC"/>
    <w:rsid w:val="00AD20C0"/>
    <w:rsid w:val="00AD21B0"/>
    <w:rsid w:val="00AD3C89"/>
    <w:rsid w:val="00AD3FBF"/>
    <w:rsid w:val="00AD4A4B"/>
    <w:rsid w:val="00AD57B8"/>
    <w:rsid w:val="00AD57F5"/>
    <w:rsid w:val="00AD5912"/>
    <w:rsid w:val="00AD59B8"/>
    <w:rsid w:val="00AD618C"/>
    <w:rsid w:val="00AD62BC"/>
    <w:rsid w:val="00AD6429"/>
    <w:rsid w:val="00AD65EA"/>
    <w:rsid w:val="00AD7753"/>
    <w:rsid w:val="00AD79C9"/>
    <w:rsid w:val="00AE0482"/>
    <w:rsid w:val="00AE0EE7"/>
    <w:rsid w:val="00AE0F7C"/>
    <w:rsid w:val="00AE1138"/>
    <w:rsid w:val="00AE277D"/>
    <w:rsid w:val="00AE2790"/>
    <w:rsid w:val="00AE2E8E"/>
    <w:rsid w:val="00AE2E97"/>
    <w:rsid w:val="00AE4596"/>
    <w:rsid w:val="00AE4785"/>
    <w:rsid w:val="00AE4BC8"/>
    <w:rsid w:val="00AE5062"/>
    <w:rsid w:val="00AE6D58"/>
    <w:rsid w:val="00AE74DB"/>
    <w:rsid w:val="00AE7D6C"/>
    <w:rsid w:val="00AF1537"/>
    <w:rsid w:val="00AF261D"/>
    <w:rsid w:val="00AF2E98"/>
    <w:rsid w:val="00AF312C"/>
    <w:rsid w:val="00AF38CC"/>
    <w:rsid w:val="00AF42AD"/>
    <w:rsid w:val="00AF46F4"/>
    <w:rsid w:val="00AF4886"/>
    <w:rsid w:val="00AF51C0"/>
    <w:rsid w:val="00AF52FB"/>
    <w:rsid w:val="00AF5381"/>
    <w:rsid w:val="00AF5BC2"/>
    <w:rsid w:val="00AF61F8"/>
    <w:rsid w:val="00AF660C"/>
    <w:rsid w:val="00AF77E3"/>
    <w:rsid w:val="00AF7A32"/>
    <w:rsid w:val="00B00204"/>
    <w:rsid w:val="00B00513"/>
    <w:rsid w:val="00B00C7E"/>
    <w:rsid w:val="00B051DF"/>
    <w:rsid w:val="00B05FF5"/>
    <w:rsid w:val="00B066A3"/>
    <w:rsid w:val="00B10312"/>
    <w:rsid w:val="00B12E8B"/>
    <w:rsid w:val="00B13705"/>
    <w:rsid w:val="00B1384A"/>
    <w:rsid w:val="00B139ED"/>
    <w:rsid w:val="00B13D13"/>
    <w:rsid w:val="00B13FDF"/>
    <w:rsid w:val="00B14F8E"/>
    <w:rsid w:val="00B1595F"/>
    <w:rsid w:val="00B15E6C"/>
    <w:rsid w:val="00B163B1"/>
    <w:rsid w:val="00B164E5"/>
    <w:rsid w:val="00B16803"/>
    <w:rsid w:val="00B20133"/>
    <w:rsid w:val="00B20A58"/>
    <w:rsid w:val="00B21387"/>
    <w:rsid w:val="00B21A96"/>
    <w:rsid w:val="00B21DEE"/>
    <w:rsid w:val="00B22777"/>
    <w:rsid w:val="00B22EF1"/>
    <w:rsid w:val="00B22F36"/>
    <w:rsid w:val="00B233F7"/>
    <w:rsid w:val="00B2399B"/>
    <w:rsid w:val="00B23B28"/>
    <w:rsid w:val="00B23E34"/>
    <w:rsid w:val="00B2422B"/>
    <w:rsid w:val="00B24875"/>
    <w:rsid w:val="00B24CB4"/>
    <w:rsid w:val="00B25376"/>
    <w:rsid w:val="00B254CA"/>
    <w:rsid w:val="00B2570E"/>
    <w:rsid w:val="00B2590B"/>
    <w:rsid w:val="00B26D47"/>
    <w:rsid w:val="00B27034"/>
    <w:rsid w:val="00B3116D"/>
    <w:rsid w:val="00B313CC"/>
    <w:rsid w:val="00B31D71"/>
    <w:rsid w:val="00B32803"/>
    <w:rsid w:val="00B32A6A"/>
    <w:rsid w:val="00B32C75"/>
    <w:rsid w:val="00B33968"/>
    <w:rsid w:val="00B33DA2"/>
    <w:rsid w:val="00B34582"/>
    <w:rsid w:val="00B34881"/>
    <w:rsid w:val="00B34924"/>
    <w:rsid w:val="00B34B88"/>
    <w:rsid w:val="00B34C00"/>
    <w:rsid w:val="00B34C28"/>
    <w:rsid w:val="00B35279"/>
    <w:rsid w:val="00B353A7"/>
    <w:rsid w:val="00B35428"/>
    <w:rsid w:val="00B3567E"/>
    <w:rsid w:val="00B35711"/>
    <w:rsid w:val="00B35BD6"/>
    <w:rsid w:val="00B35DB5"/>
    <w:rsid w:val="00B360F8"/>
    <w:rsid w:val="00B36325"/>
    <w:rsid w:val="00B37039"/>
    <w:rsid w:val="00B37A8F"/>
    <w:rsid w:val="00B40A1B"/>
    <w:rsid w:val="00B40B28"/>
    <w:rsid w:val="00B40DB4"/>
    <w:rsid w:val="00B412CB"/>
    <w:rsid w:val="00B42527"/>
    <w:rsid w:val="00B428CB"/>
    <w:rsid w:val="00B430E5"/>
    <w:rsid w:val="00B43238"/>
    <w:rsid w:val="00B43346"/>
    <w:rsid w:val="00B435E1"/>
    <w:rsid w:val="00B44687"/>
    <w:rsid w:val="00B455E2"/>
    <w:rsid w:val="00B457DC"/>
    <w:rsid w:val="00B46862"/>
    <w:rsid w:val="00B46B8A"/>
    <w:rsid w:val="00B46E03"/>
    <w:rsid w:val="00B50119"/>
    <w:rsid w:val="00B5064F"/>
    <w:rsid w:val="00B5210D"/>
    <w:rsid w:val="00B53489"/>
    <w:rsid w:val="00B544FE"/>
    <w:rsid w:val="00B5503F"/>
    <w:rsid w:val="00B573F4"/>
    <w:rsid w:val="00B576EA"/>
    <w:rsid w:val="00B57841"/>
    <w:rsid w:val="00B57B90"/>
    <w:rsid w:val="00B57DBA"/>
    <w:rsid w:val="00B61582"/>
    <w:rsid w:val="00B62333"/>
    <w:rsid w:val="00B62BC5"/>
    <w:rsid w:val="00B63D32"/>
    <w:rsid w:val="00B63F5B"/>
    <w:rsid w:val="00B641AC"/>
    <w:rsid w:val="00B647D3"/>
    <w:rsid w:val="00B659E8"/>
    <w:rsid w:val="00B65D88"/>
    <w:rsid w:val="00B66A71"/>
    <w:rsid w:val="00B66CBD"/>
    <w:rsid w:val="00B66FA0"/>
    <w:rsid w:val="00B706DC"/>
    <w:rsid w:val="00B71822"/>
    <w:rsid w:val="00B71B79"/>
    <w:rsid w:val="00B72C7E"/>
    <w:rsid w:val="00B74883"/>
    <w:rsid w:val="00B74EA3"/>
    <w:rsid w:val="00B74EF4"/>
    <w:rsid w:val="00B752B6"/>
    <w:rsid w:val="00B75581"/>
    <w:rsid w:val="00B75728"/>
    <w:rsid w:val="00B7633D"/>
    <w:rsid w:val="00B765B5"/>
    <w:rsid w:val="00B77781"/>
    <w:rsid w:val="00B7798A"/>
    <w:rsid w:val="00B811A5"/>
    <w:rsid w:val="00B82597"/>
    <w:rsid w:val="00B8303D"/>
    <w:rsid w:val="00B83D74"/>
    <w:rsid w:val="00B84F8E"/>
    <w:rsid w:val="00B8591B"/>
    <w:rsid w:val="00B87353"/>
    <w:rsid w:val="00B87BCA"/>
    <w:rsid w:val="00B90BE4"/>
    <w:rsid w:val="00B91711"/>
    <w:rsid w:val="00B918EC"/>
    <w:rsid w:val="00B91C58"/>
    <w:rsid w:val="00B91F40"/>
    <w:rsid w:val="00B92062"/>
    <w:rsid w:val="00B9296D"/>
    <w:rsid w:val="00B93679"/>
    <w:rsid w:val="00B93AF0"/>
    <w:rsid w:val="00B9505F"/>
    <w:rsid w:val="00B9558F"/>
    <w:rsid w:val="00B95C1B"/>
    <w:rsid w:val="00B95CEC"/>
    <w:rsid w:val="00B961B2"/>
    <w:rsid w:val="00B964A1"/>
    <w:rsid w:val="00B96A84"/>
    <w:rsid w:val="00B96E93"/>
    <w:rsid w:val="00B97562"/>
    <w:rsid w:val="00B97682"/>
    <w:rsid w:val="00B976E6"/>
    <w:rsid w:val="00B97E9C"/>
    <w:rsid w:val="00BA0872"/>
    <w:rsid w:val="00BA10FC"/>
    <w:rsid w:val="00BA1513"/>
    <w:rsid w:val="00BA1E59"/>
    <w:rsid w:val="00BA3C45"/>
    <w:rsid w:val="00BA3E62"/>
    <w:rsid w:val="00BA3F72"/>
    <w:rsid w:val="00BA400B"/>
    <w:rsid w:val="00BA4D9A"/>
    <w:rsid w:val="00BA5072"/>
    <w:rsid w:val="00BA5AAE"/>
    <w:rsid w:val="00BA5C0D"/>
    <w:rsid w:val="00BA6126"/>
    <w:rsid w:val="00BA6150"/>
    <w:rsid w:val="00BA64C1"/>
    <w:rsid w:val="00BA7509"/>
    <w:rsid w:val="00BA760A"/>
    <w:rsid w:val="00BA7821"/>
    <w:rsid w:val="00BB0053"/>
    <w:rsid w:val="00BB047B"/>
    <w:rsid w:val="00BB04C1"/>
    <w:rsid w:val="00BB2129"/>
    <w:rsid w:val="00BB2555"/>
    <w:rsid w:val="00BB2644"/>
    <w:rsid w:val="00BB273D"/>
    <w:rsid w:val="00BB31B6"/>
    <w:rsid w:val="00BB3284"/>
    <w:rsid w:val="00BB3CE7"/>
    <w:rsid w:val="00BB4E5F"/>
    <w:rsid w:val="00BB51CF"/>
    <w:rsid w:val="00BB5760"/>
    <w:rsid w:val="00BB6499"/>
    <w:rsid w:val="00BB7DE5"/>
    <w:rsid w:val="00BB7F97"/>
    <w:rsid w:val="00BC06ED"/>
    <w:rsid w:val="00BC0DD4"/>
    <w:rsid w:val="00BC106B"/>
    <w:rsid w:val="00BC16F4"/>
    <w:rsid w:val="00BC1D0C"/>
    <w:rsid w:val="00BC23BF"/>
    <w:rsid w:val="00BC249A"/>
    <w:rsid w:val="00BC25E1"/>
    <w:rsid w:val="00BC27E5"/>
    <w:rsid w:val="00BC289F"/>
    <w:rsid w:val="00BC29FA"/>
    <w:rsid w:val="00BC34D1"/>
    <w:rsid w:val="00BC5192"/>
    <w:rsid w:val="00BC5985"/>
    <w:rsid w:val="00BC638C"/>
    <w:rsid w:val="00BC73A2"/>
    <w:rsid w:val="00BC73C0"/>
    <w:rsid w:val="00BC7D7A"/>
    <w:rsid w:val="00BD04D7"/>
    <w:rsid w:val="00BD0901"/>
    <w:rsid w:val="00BD1461"/>
    <w:rsid w:val="00BD154D"/>
    <w:rsid w:val="00BD1B72"/>
    <w:rsid w:val="00BD2114"/>
    <w:rsid w:val="00BD2611"/>
    <w:rsid w:val="00BD2CD0"/>
    <w:rsid w:val="00BD2F54"/>
    <w:rsid w:val="00BD402F"/>
    <w:rsid w:val="00BD4314"/>
    <w:rsid w:val="00BD43DA"/>
    <w:rsid w:val="00BD4814"/>
    <w:rsid w:val="00BD4A75"/>
    <w:rsid w:val="00BD4CC9"/>
    <w:rsid w:val="00BD5737"/>
    <w:rsid w:val="00BD5D5F"/>
    <w:rsid w:val="00BD6028"/>
    <w:rsid w:val="00BD6070"/>
    <w:rsid w:val="00BD60CE"/>
    <w:rsid w:val="00BD6548"/>
    <w:rsid w:val="00BD6594"/>
    <w:rsid w:val="00BD6666"/>
    <w:rsid w:val="00BD6EE3"/>
    <w:rsid w:val="00BE0103"/>
    <w:rsid w:val="00BE01A4"/>
    <w:rsid w:val="00BE0709"/>
    <w:rsid w:val="00BE0C31"/>
    <w:rsid w:val="00BE0E15"/>
    <w:rsid w:val="00BE25A8"/>
    <w:rsid w:val="00BE25F7"/>
    <w:rsid w:val="00BE310B"/>
    <w:rsid w:val="00BE3795"/>
    <w:rsid w:val="00BE45E6"/>
    <w:rsid w:val="00BE5922"/>
    <w:rsid w:val="00BE61BD"/>
    <w:rsid w:val="00BE65AE"/>
    <w:rsid w:val="00BE6747"/>
    <w:rsid w:val="00BE74E7"/>
    <w:rsid w:val="00BF069B"/>
    <w:rsid w:val="00BF0AD6"/>
    <w:rsid w:val="00BF0C24"/>
    <w:rsid w:val="00BF109E"/>
    <w:rsid w:val="00BF1D7F"/>
    <w:rsid w:val="00BF253B"/>
    <w:rsid w:val="00BF34BF"/>
    <w:rsid w:val="00BF3BF5"/>
    <w:rsid w:val="00BF4775"/>
    <w:rsid w:val="00BF57A4"/>
    <w:rsid w:val="00BF6FB6"/>
    <w:rsid w:val="00BF7A8D"/>
    <w:rsid w:val="00BF7D71"/>
    <w:rsid w:val="00BF7E22"/>
    <w:rsid w:val="00C00397"/>
    <w:rsid w:val="00C00948"/>
    <w:rsid w:val="00C00F14"/>
    <w:rsid w:val="00C01067"/>
    <w:rsid w:val="00C015CD"/>
    <w:rsid w:val="00C018BD"/>
    <w:rsid w:val="00C028BC"/>
    <w:rsid w:val="00C02A7E"/>
    <w:rsid w:val="00C02B5E"/>
    <w:rsid w:val="00C04623"/>
    <w:rsid w:val="00C05B5E"/>
    <w:rsid w:val="00C05B92"/>
    <w:rsid w:val="00C077D3"/>
    <w:rsid w:val="00C07B36"/>
    <w:rsid w:val="00C10033"/>
    <w:rsid w:val="00C106B1"/>
    <w:rsid w:val="00C115A2"/>
    <w:rsid w:val="00C11B5D"/>
    <w:rsid w:val="00C11B90"/>
    <w:rsid w:val="00C11E5F"/>
    <w:rsid w:val="00C129E8"/>
    <w:rsid w:val="00C12B56"/>
    <w:rsid w:val="00C12C8C"/>
    <w:rsid w:val="00C1317E"/>
    <w:rsid w:val="00C135FE"/>
    <w:rsid w:val="00C13627"/>
    <w:rsid w:val="00C147C2"/>
    <w:rsid w:val="00C14CD3"/>
    <w:rsid w:val="00C15024"/>
    <w:rsid w:val="00C15413"/>
    <w:rsid w:val="00C155DB"/>
    <w:rsid w:val="00C16017"/>
    <w:rsid w:val="00C1625C"/>
    <w:rsid w:val="00C16EB2"/>
    <w:rsid w:val="00C17008"/>
    <w:rsid w:val="00C171BB"/>
    <w:rsid w:val="00C1720F"/>
    <w:rsid w:val="00C206D2"/>
    <w:rsid w:val="00C207CC"/>
    <w:rsid w:val="00C20A99"/>
    <w:rsid w:val="00C20CD0"/>
    <w:rsid w:val="00C211AA"/>
    <w:rsid w:val="00C215BA"/>
    <w:rsid w:val="00C2207E"/>
    <w:rsid w:val="00C22F1D"/>
    <w:rsid w:val="00C24FE9"/>
    <w:rsid w:val="00C25702"/>
    <w:rsid w:val="00C2615A"/>
    <w:rsid w:val="00C2661E"/>
    <w:rsid w:val="00C26A01"/>
    <w:rsid w:val="00C26EBC"/>
    <w:rsid w:val="00C26FFE"/>
    <w:rsid w:val="00C312AA"/>
    <w:rsid w:val="00C3140D"/>
    <w:rsid w:val="00C31612"/>
    <w:rsid w:val="00C31664"/>
    <w:rsid w:val="00C334E0"/>
    <w:rsid w:val="00C33C5E"/>
    <w:rsid w:val="00C33CF0"/>
    <w:rsid w:val="00C34500"/>
    <w:rsid w:val="00C34502"/>
    <w:rsid w:val="00C3553E"/>
    <w:rsid w:val="00C3600C"/>
    <w:rsid w:val="00C36BED"/>
    <w:rsid w:val="00C400F7"/>
    <w:rsid w:val="00C41705"/>
    <w:rsid w:val="00C42000"/>
    <w:rsid w:val="00C42AB4"/>
    <w:rsid w:val="00C4387D"/>
    <w:rsid w:val="00C43F30"/>
    <w:rsid w:val="00C44FAB"/>
    <w:rsid w:val="00C450CB"/>
    <w:rsid w:val="00C452F8"/>
    <w:rsid w:val="00C45BB8"/>
    <w:rsid w:val="00C461FF"/>
    <w:rsid w:val="00C471AE"/>
    <w:rsid w:val="00C47221"/>
    <w:rsid w:val="00C473C3"/>
    <w:rsid w:val="00C47882"/>
    <w:rsid w:val="00C502E2"/>
    <w:rsid w:val="00C509F7"/>
    <w:rsid w:val="00C516B7"/>
    <w:rsid w:val="00C519B3"/>
    <w:rsid w:val="00C51B90"/>
    <w:rsid w:val="00C53756"/>
    <w:rsid w:val="00C5378E"/>
    <w:rsid w:val="00C5525D"/>
    <w:rsid w:val="00C5638D"/>
    <w:rsid w:val="00C56947"/>
    <w:rsid w:val="00C602BD"/>
    <w:rsid w:val="00C605CC"/>
    <w:rsid w:val="00C60808"/>
    <w:rsid w:val="00C60ED6"/>
    <w:rsid w:val="00C61BCF"/>
    <w:rsid w:val="00C62239"/>
    <w:rsid w:val="00C62685"/>
    <w:rsid w:val="00C62E31"/>
    <w:rsid w:val="00C632F7"/>
    <w:rsid w:val="00C6334D"/>
    <w:rsid w:val="00C63934"/>
    <w:rsid w:val="00C63B65"/>
    <w:rsid w:val="00C663B9"/>
    <w:rsid w:val="00C66509"/>
    <w:rsid w:val="00C678EA"/>
    <w:rsid w:val="00C7078D"/>
    <w:rsid w:val="00C71D33"/>
    <w:rsid w:val="00C726FE"/>
    <w:rsid w:val="00C72966"/>
    <w:rsid w:val="00C72A50"/>
    <w:rsid w:val="00C72D1C"/>
    <w:rsid w:val="00C730D5"/>
    <w:rsid w:val="00C731E5"/>
    <w:rsid w:val="00C73585"/>
    <w:rsid w:val="00C73A27"/>
    <w:rsid w:val="00C73C3F"/>
    <w:rsid w:val="00C742CB"/>
    <w:rsid w:val="00C74544"/>
    <w:rsid w:val="00C74761"/>
    <w:rsid w:val="00C7479F"/>
    <w:rsid w:val="00C75483"/>
    <w:rsid w:val="00C75657"/>
    <w:rsid w:val="00C7595F"/>
    <w:rsid w:val="00C75A49"/>
    <w:rsid w:val="00C76B45"/>
    <w:rsid w:val="00C77D49"/>
    <w:rsid w:val="00C802A4"/>
    <w:rsid w:val="00C80499"/>
    <w:rsid w:val="00C8128C"/>
    <w:rsid w:val="00C8197A"/>
    <w:rsid w:val="00C81B48"/>
    <w:rsid w:val="00C81D9A"/>
    <w:rsid w:val="00C81E37"/>
    <w:rsid w:val="00C8290A"/>
    <w:rsid w:val="00C82C82"/>
    <w:rsid w:val="00C834FB"/>
    <w:rsid w:val="00C83B66"/>
    <w:rsid w:val="00C840BA"/>
    <w:rsid w:val="00C86322"/>
    <w:rsid w:val="00C864E1"/>
    <w:rsid w:val="00C8686B"/>
    <w:rsid w:val="00C902B2"/>
    <w:rsid w:val="00C91099"/>
    <w:rsid w:val="00C913F7"/>
    <w:rsid w:val="00C9150A"/>
    <w:rsid w:val="00C91B67"/>
    <w:rsid w:val="00C91CCE"/>
    <w:rsid w:val="00C93B39"/>
    <w:rsid w:val="00C93D44"/>
    <w:rsid w:val="00C94149"/>
    <w:rsid w:val="00C9476A"/>
    <w:rsid w:val="00C9485A"/>
    <w:rsid w:val="00C94A57"/>
    <w:rsid w:val="00C94B86"/>
    <w:rsid w:val="00C94CCC"/>
    <w:rsid w:val="00C94CDF"/>
    <w:rsid w:val="00C94E1C"/>
    <w:rsid w:val="00C94FCB"/>
    <w:rsid w:val="00C958CC"/>
    <w:rsid w:val="00C95A99"/>
    <w:rsid w:val="00C95F6E"/>
    <w:rsid w:val="00C95FA5"/>
    <w:rsid w:val="00C966E4"/>
    <w:rsid w:val="00C96D9C"/>
    <w:rsid w:val="00C97A08"/>
    <w:rsid w:val="00C97D75"/>
    <w:rsid w:val="00CA072C"/>
    <w:rsid w:val="00CA0E1F"/>
    <w:rsid w:val="00CA1320"/>
    <w:rsid w:val="00CA14B7"/>
    <w:rsid w:val="00CA27CB"/>
    <w:rsid w:val="00CA3189"/>
    <w:rsid w:val="00CA31E6"/>
    <w:rsid w:val="00CA3795"/>
    <w:rsid w:val="00CA730F"/>
    <w:rsid w:val="00CB05D9"/>
    <w:rsid w:val="00CB1A0B"/>
    <w:rsid w:val="00CB242E"/>
    <w:rsid w:val="00CB2994"/>
    <w:rsid w:val="00CB31C5"/>
    <w:rsid w:val="00CB3F4E"/>
    <w:rsid w:val="00CB46D1"/>
    <w:rsid w:val="00CB533C"/>
    <w:rsid w:val="00CB58E4"/>
    <w:rsid w:val="00CB68A5"/>
    <w:rsid w:val="00CB68EA"/>
    <w:rsid w:val="00CB6AFA"/>
    <w:rsid w:val="00CB6D54"/>
    <w:rsid w:val="00CB6DE2"/>
    <w:rsid w:val="00CB75D7"/>
    <w:rsid w:val="00CB7F5B"/>
    <w:rsid w:val="00CC09C3"/>
    <w:rsid w:val="00CC0BCE"/>
    <w:rsid w:val="00CC10FA"/>
    <w:rsid w:val="00CC1E44"/>
    <w:rsid w:val="00CC3606"/>
    <w:rsid w:val="00CC3610"/>
    <w:rsid w:val="00CC4B01"/>
    <w:rsid w:val="00CC5E09"/>
    <w:rsid w:val="00CC7777"/>
    <w:rsid w:val="00CC7806"/>
    <w:rsid w:val="00CC78AF"/>
    <w:rsid w:val="00CD06D5"/>
    <w:rsid w:val="00CD2324"/>
    <w:rsid w:val="00CD2980"/>
    <w:rsid w:val="00CD2B4A"/>
    <w:rsid w:val="00CD431A"/>
    <w:rsid w:val="00CD46CC"/>
    <w:rsid w:val="00CD4952"/>
    <w:rsid w:val="00CD5B8D"/>
    <w:rsid w:val="00CD5DD8"/>
    <w:rsid w:val="00CD6B09"/>
    <w:rsid w:val="00CD6EAB"/>
    <w:rsid w:val="00CD7315"/>
    <w:rsid w:val="00CE0326"/>
    <w:rsid w:val="00CE10FC"/>
    <w:rsid w:val="00CE1ED1"/>
    <w:rsid w:val="00CE2091"/>
    <w:rsid w:val="00CE25DC"/>
    <w:rsid w:val="00CE29BC"/>
    <w:rsid w:val="00CE2CF0"/>
    <w:rsid w:val="00CE5503"/>
    <w:rsid w:val="00CE5A55"/>
    <w:rsid w:val="00CE5AFC"/>
    <w:rsid w:val="00CE633A"/>
    <w:rsid w:val="00CE6FE1"/>
    <w:rsid w:val="00CE76E1"/>
    <w:rsid w:val="00CF0306"/>
    <w:rsid w:val="00CF0966"/>
    <w:rsid w:val="00CF0F07"/>
    <w:rsid w:val="00CF1500"/>
    <w:rsid w:val="00CF23E3"/>
    <w:rsid w:val="00CF282B"/>
    <w:rsid w:val="00CF390F"/>
    <w:rsid w:val="00CF4CBC"/>
    <w:rsid w:val="00CF4D1E"/>
    <w:rsid w:val="00CF4E54"/>
    <w:rsid w:val="00CF4F60"/>
    <w:rsid w:val="00CF59E8"/>
    <w:rsid w:val="00CF6422"/>
    <w:rsid w:val="00CF6B5B"/>
    <w:rsid w:val="00CF7485"/>
    <w:rsid w:val="00CF7B1F"/>
    <w:rsid w:val="00CF7E71"/>
    <w:rsid w:val="00D00343"/>
    <w:rsid w:val="00D007ED"/>
    <w:rsid w:val="00D01223"/>
    <w:rsid w:val="00D0130D"/>
    <w:rsid w:val="00D01363"/>
    <w:rsid w:val="00D019DF"/>
    <w:rsid w:val="00D01B41"/>
    <w:rsid w:val="00D024EC"/>
    <w:rsid w:val="00D0350B"/>
    <w:rsid w:val="00D042FA"/>
    <w:rsid w:val="00D043EC"/>
    <w:rsid w:val="00D0479C"/>
    <w:rsid w:val="00D048DD"/>
    <w:rsid w:val="00D0540F"/>
    <w:rsid w:val="00D05815"/>
    <w:rsid w:val="00D059C9"/>
    <w:rsid w:val="00D05B6B"/>
    <w:rsid w:val="00D06289"/>
    <w:rsid w:val="00D06877"/>
    <w:rsid w:val="00D069E8"/>
    <w:rsid w:val="00D06F39"/>
    <w:rsid w:val="00D06F6A"/>
    <w:rsid w:val="00D077F5"/>
    <w:rsid w:val="00D07EA5"/>
    <w:rsid w:val="00D101E0"/>
    <w:rsid w:val="00D123CF"/>
    <w:rsid w:val="00D124AE"/>
    <w:rsid w:val="00D13048"/>
    <w:rsid w:val="00D134F6"/>
    <w:rsid w:val="00D135DE"/>
    <w:rsid w:val="00D1462A"/>
    <w:rsid w:val="00D14784"/>
    <w:rsid w:val="00D14DD4"/>
    <w:rsid w:val="00D1689A"/>
    <w:rsid w:val="00D17B1E"/>
    <w:rsid w:val="00D21AFC"/>
    <w:rsid w:val="00D22AC1"/>
    <w:rsid w:val="00D22CFB"/>
    <w:rsid w:val="00D22F5D"/>
    <w:rsid w:val="00D23D8A"/>
    <w:rsid w:val="00D23E8D"/>
    <w:rsid w:val="00D240C8"/>
    <w:rsid w:val="00D24955"/>
    <w:rsid w:val="00D24C41"/>
    <w:rsid w:val="00D24C5E"/>
    <w:rsid w:val="00D24EAE"/>
    <w:rsid w:val="00D25420"/>
    <w:rsid w:val="00D2566E"/>
    <w:rsid w:val="00D267E3"/>
    <w:rsid w:val="00D26B45"/>
    <w:rsid w:val="00D2780E"/>
    <w:rsid w:val="00D31201"/>
    <w:rsid w:val="00D313F4"/>
    <w:rsid w:val="00D31D6C"/>
    <w:rsid w:val="00D31F84"/>
    <w:rsid w:val="00D322FA"/>
    <w:rsid w:val="00D33716"/>
    <w:rsid w:val="00D34421"/>
    <w:rsid w:val="00D34F32"/>
    <w:rsid w:val="00D34F37"/>
    <w:rsid w:val="00D35727"/>
    <w:rsid w:val="00D35962"/>
    <w:rsid w:val="00D36239"/>
    <w:rsid w:val="00D363E5"/>
    <w:rsid w:val="00D376C5"/>
    <w:rsid w:val="00D37B29"/>
    <w:rsid w:val="00D37BF7"/>
    <w:rsid w:val="00D37F7B"/>
    <w:rsid w:val="00D40BF3"/>
    <w:rsid w:val="00D4108A"/>
    <w:rsid w:val="00D4119B"/>
    <w:rsid w:val="00D4136B"/>
    <w:rsid w:val="00D414AA"/>
    <w:rsid w:val="00D41A29"/>
    <w:rsid w:val="00D42EDF"/>
    <w:rsid w:val="00D434DC"/>
    <w:rsid w:val="00D43901"/>
    <w:rsid w:val="00D43A1E"/>
    <w:rsid w:val="00D43D80"/>
    <w:rsid w:val="00D4451B"/>
    <w:rsid w:val="00D451A4"/>
    <w:rsid w:val="00D45799"/>
    <w:rsid w:val="00D46C23"/>
    <w:rsid w:val="00D475F7"/>
    <w:rsid w:val="00D51D54"/>
    <w:rsid w:val="00D51DEE"/>
    <w:rsid w:val="00D52388"/>
    <w:rsid w:val="00D527ED"/>
    <w:rsid w:val="00D52872"/>
    <w:rsid w:val="00D53C93"/>
    <w:rsid w:val="00D54EBE"/>
    <w:rsid w:val="00D558EF"/>
    <w:rsid w:val="00D55DDF"/>
    <w:rsid w:val="00D5654E"/>
    <w:rsid w:val="00D56874"/>
    <w:rsid w:val="00D5693B"/>
    <w:rsid w:val="00D6018F"/>
    <w:rsid w:val="00D60448"/>
    <w:rsid w:val="00D6054B"/>
    <w:rsid w:val="00D60BEF"/>
    <w:rsid w:val="00D60FDE"/>
    <w:rsid w:val="00D6127D"/>
    <w:rsid w:val="00D61875"/>
    <w:rsid w:val="00D619F0"/>
    <w:rsid w:val="00D624D3"/>
    <w:rsid w:val="00D62598"/>
    <w:rsid w:val="00D63B30"/>
    <w:rsid w:val="00D645E4"/>
    <w:rsid w:val="00D659C8"/>
    <w:rsid w:val="00D65C3A"/>
    <w:rsid w:val="00D6665C"/>
    <w:rsid w:val="00D669F4"/>
    <w:rsid w:val="00D675D9"/>
    <w:rsid w:val="00D67905"/>
    <w:rsid w:val="00D70683"/>
    <w:rsid w:val="00D7156F"/>
    <w:rsid w:val="00D733C7"/>
    <w:rsid w:val="00D74862"/>
    <w:rsid w:val="00D74BD7"/>
    <w:rsid w:val="00D7649D"/>
    <w:rsid w:val="00D766DB"/>
    <w:rsid w:val="00D769D2"/>
    <w:rsid w:val="00D77007"/>
    <w:rsid w:val="00D7729E"/>
    <w:rsid w:val="00D774E3"/>
    <w:rsid w:val="00D776C1"/>
    <w:rsid w:val="00D77894"/>
    <w:rsid w:val="00D81C79"/>
    <w:rsid w:val="00D8205C"/>
    <w:rsid w:val="00D82FB5"/>
    <w:rsid w:val="00D839C5"/>
    <w:rsid w:val="00D8420E"/>
    <w:rsid w:val="00D848E5"/>
    <w:rsid w:val="00D84E4C"/>
    <w:rsid w:val="00D84FA3"/>
    <w:rsid w:val="00D854BC"/>
    <w:rsid w:val="00D85F9F"/>
    <w:rsid w:val="00D86298"/>
    <w:rsid w:val="00D869CD"/>
    <w:rsid w:val="00D86B8A"/>
    <w:rsid w:val="00D87253"/>
    <w:rsid w:val="00D9066A"/>
    <w:rsid w:val="00D90EE7"/>
    <w:rsid w:val="00D914CC"/>
    <w:rsid w:val="00D92F71"/>
    <w:rsid w:val="00D93270"/>
    <w:rsid w:val="00D93F52"/>
    <w:rsid w:val="00D946AA"/>
    <w:rsid w:val="00D948ED"/>
    <w:rsid w:val="00D949CE"/>
    <w:rsid w:val="00D94FAC"/>
    <w:rsid w:val="00D95C7D"/>
    <w:rsid w:val="00D964F3"/>
    <w:rsid w:val="00D96623"/>
    <w:rsid w:val="00D97495"/>
    <w:rsid w:val="00D976A7"/>
    <w:rsid w:val="00D976DF"/>
    <w:rsid w:val="00D97741"/>
    <w:rsid w:val="00DA026D"/>
    <w:rsid w:val="00DA30FB"/>
    <w:rsid w:val="00DA352B"/>
    <w:rsid w:val="00DA3D62"/>
    <w:rsid w:val="00DA43F5"/>
    <w:rsid w:val="00DA57C4"/>
    <w:rsid w:val="00DA712A"/>
    <w:rsid w:val="00DB0935"/>
    <w:rsid w:val="00DB0981"/>
    <w:rsid w:val="00DB16EA"/>
    <w:rsid w:val="00DB17DF"/>
    <w:rsid w:val="00DB22D2"/>
    <w:rsid w:val="00DB2656"/>
    <w:rsid w:val="00DB30AC"/>
    <w:rsid w:val="00DB3225"/>
    <w:rsid w:val="00DB395C"/>
    <w:rsid w:val="00DB4AD7"/>
    <w:rsid w:val="00DB4DE6"/>
    <w:rsid w:val="00DB511B"/>
    <w:rsid w:val="00DB581B"/>
    <w:rsid w:val="00DB590C"/>
    <w:rsid w:val="00DB5A10"/>
    <w:rsid w:val="00DB60DC"/>
    <w:rsid w:val="00DB6975"/>
    <w:rsid w:val="00DC0C36"/>
    <w:rsid w:val="00DC15EB"/>
    <w:rsid w:val="00DC1BFE"/>
    <w:rsid w:val="00DC28FF"/>
    <w:rsid w:val="00DC2BD0"/>
    <w:rsid w:val="00DC2FDC"/>
    <w:rsid w:val="00DC4EA2"/>
    <w:rsid w:val="00DC52FC"/>
    <w:rsid w:val="00DC59E7"/>
    <w:rsid w:val="00DC5C7C"/>
    <w:rsid w:val="00DC653B"/>
    <w:rsid w:val="00DC71B3"/>
    <w:rsid w:val="00DC75F3"/>
    <w:rsid w:val="00DD07B5"/>
    <w:rsid w:val="00DD0DED"/>
    <w:rsid w:val="00DD1B65"/>
    <w:rsid w:val="00DD25E4"/>
    <w:rsid w:val="00DD287D"/>
    <w:rsid w:val="00DD2F59"/>
    <w:rsid w:val="00DD430E"/>
    <w:rsid w:val="00DD4554"/>
    <w:rsid w:val="00DD46BE"/>
    <w:rsid w:val="00DD46D9"/>
    <w:rsid w:val="00DD4701"/>
    <w:rsid w:val="00DD4BC8"/>
    <w:rsid w:val="00DD556D"/>
    <w:rsid w:val="00DD631C"/>
    <w:rsid w:val="00DD7067"/>
    <w:rsid w:val="00DD7695"/>
    <w:rsid w:val="00DD7BCB"/>
    <w:rsid w:val="00DE064B"/>
    <w:rsid w:val="00DE0C1B"/>
    <w:rsid w:val="00DE0E74"/>
    <w:rsid w:val="00DE0E83"/>
    <w:rsid w:val="00DE16BF"/>
    <w:rsid w:val="00DE1B9B"/>
    <w:rsid w:val="00DE1DAF"/>
    <w:rsid w:val="00DE1EB0"/>
    <w:rsid w:val="00DE26CE"/>
    <w:rsid w:val="00DE2945"/>
    <w:rsid w:val="00DE296B"/>
    <w:rsid w:val="00DE2D05"/>
    <w:rsid w:val="00DE2E19"/>
    <w:rsid w:val="00DE354D"/>
    <w:rsid w:val="00DE3F87"/>
    <w:rsid w:val="00DE652D"/>
    <w:rsid w:val="00DE6541"/>
    <w:rsid w:val="00DE69C2"/>
    <w:rsid w:val="00DF098A"/>
    <w:rsid w:val="00DF1289"/>
    <w:rsid w:val="00DF2964"/>
    <w:rsid w:val="00DF2A61"/>
    <w:rsid w:val="00DF2CA2"/>
    <w:rsid w:val="00DF3004"/>
    <w:rsid w:val="00DF5094"/>
    <w:rsid w:val="00DF5B06"/>
    <w:rsid w:val="00DF66C1"/>
    <w:rsid w:val="00DF75B3"/>
    <w:rsid w:val="00E00829"/>
    <w:rsid w:val="00E00CE2"/>
    <w:rsid w:val="00E00D8C"/>
    <w:rsid w:val="00E0100B"/>
    <w:rsid w:val="00E013F6"/>
    <w:rsid w:val="00E01B07"/>
    <w:rsid w:val="00E01F84"/>
    <w:rsid w:val="00E026EE"/>
    <w:rsid w:val="00E02E5E"/>
    <w:rsid w:val="00E02F61"/>
    <w:rsid w:val="00E032C4"/>
    <w:rsid w:val="00E03462"/>
    <w:rsid w:val="00E03542"/>
    <w:rsid w:val="00E05ABF"/>
    <w:rsid w:val="00E05B11"/>
    <w:rsid w:val="00E05C40"/>
    <w:rsid w:val="00E05F64"/>
    <w:rsid w:val="00E06E04"/>
    <w:rsid w:val="00E075FC"/>
    <w:rsid w:val="00E10E5A"/>
    <w:rsid w:val="00E10F7B"/>
    <w:rsid w:val="00E112F8"/>
    <w:rsid w:val="00E12A23"/>
    <w:rsid w:val="00E12E3F"/>
    <w:rsid w:val="00E1395A"/>
    <w:rsid w:val="00E13A75"/>
    <w:rsid w:val="00E149C8"/>
    <w:rsid w:val="00E14D26"/>
    <w:rsid w:val="00E1519C"/>
    <w:rsid w:val="00E16AE7"/>
    <w:rsid w:val="00E17391"/>
    <w:rsid w:val="00E17861"/>
    <w:rsid w:val="00E17BFD"/>
    <w:rsid w:val="00E206B2"/>
    <w:rsid w:val="00E208FF"/>
    <w:rsid w:val="00E20B3B"/>
    <w:rsid w:val="00E20B3F"/>
    <w:rsid w:val="00E20B5C"/>
    <w:rsid w:val="00E20E20"/>
    <w:rsid w:val="00E20EAE"/>
    <w:rsid w:val="00E213C4"/>
    <w:rsid w:val="00E2183C"/>
    <w:rsid w:val="00E219B9"/>
    <w:rsid w:val="00E223A1"/>
    <w:rsid w:val="00E22EB8"/>
    <w:rsid w:val="00E23156"/>
    <w:rsid w:val="00E23665"/>
    <w:rsid w:val="00E23D5D"/>
    <w:rsid w:val="00E24136"/>
    <w:rsid w:val="00E247CC"/>
    <w:rsid w:val="00E25C7B"/>
    <w:rsid w:val="00E25DC5"/>
    <w:rsid w:val="00E25EF1"/>
    <w:rsid w:val="00E26139"/>
    <w:rsid w:val="00E26BFF"/>
    <w:rsid w:val="00E277CD"/>
    <w:rsid w:val="00E31A4B"/>
    <w:rsid w:val="00E31AAA"/>
    <w:rsid w:val="00E3223D"/>
    <w:rsid w:val="00E32F47"/>
    <w:rsid w:val="00E32F52"/>
    <w:rsid w:val="00E337B6"/>
    <w:rsid w:val="00E3407E"/>
    <w:rsid w:val="00E3472B"/>
    <w:rsid w:val="00E3570D"/>
    <w:rsid w:val="00E3586C"/>
    <w:rsid w:val="00E35BDD"/>
    <w:rsid w:val="00E360AA"/>
    <w:rsid w:val="00E3610B"/>
    <w:rsid w:val="00E3618A"/>
    <w:rsid w:val="00E37B12"/>
    <w:rsid w:val="00E40013"/>
    <w:rsid w:val="00E40074"/>
    <w:rsid w:val="00E40996"/>
    <w:rsid w:val="00E409D9"/>
    <w:rsid w:val="00E42378"/>
    <w:rsid w:val="00E42EDB"/>
    <w:rsid w:val="00E43C44"/>
    <w:rsid w:val="00E45D37"/>
    <w:rsid w:val="00E4744E"/>
    <w:rsid w:val="00E474C2"/>
    <w:rsid w:val="00E47A4A"/>
    <w:rsid w:val="00E50015"/>
    <w:rsid w:val="00E5075F"/>
    <w:rsid w:val="00E509D8"/>
    <w:rsid w:val="00E50BDD"/>
    <w:rsid w:val="00E50DF9"/>
    <w:rsid w:val="00E5111F"/>
    <w:rsid w:val="00E512D9"/>
    <w:rsid w:val="00E51C45"/>
    <w:rsid w:val="00E51D24"/>
    <w:rsid w:val="00E52015"/>
    <w:rsid w:val="00E52AE1"/>
    <w:rsid w:val="00E52CD0"/>
    <w:rsid w:val="00E52D09"/>
    <w:rsid w:val="00E53187"/>
    <w:rsid w:val="00E535BE"/>
    <w:rsid w:val="00E54A79"/>
    <w:rsid w:val="00E54ACC"/>
    <w:rsid w:val="00E54C60"/>
    <w:rsid w:val="00E55A18"/>
    <w:rsid w:val="00E56C5E"/>
    <w:rsid w:val="00E570D1"/>
    <w:rsid w:val="00E57331"/>
    <w:rsid w:val="00E57A64"/>
    <w:rsid w:val="00E604CF"/>
    <w:rsid w:val="00E60B75"/>
    <w:rsid w:val="00E60F7C"/>
    <w:rsid w:val="00E617C4"/>
    <w:rsid w:val="00E61A40"/>
    <w:rsid w:val="00E628D0"/>
    <w:rsid w:val="00E62A9F"/>
    <w:rsid w:val="00E62B12"/>
    <w:rsid w:val="00E639AD"/>
    <w:rsid w:val="00E6443E"/>
    <w:rsid w:val="00E657CE"/>
    <w:rsid w:val="00E65F3A"/>
    <w:rsid w:val="00E672A8"/>
    <w:rsid w:val="00E70123"/>
    <w:rsid w:val="00E71A54"/>
    <w:rsid w:val="00E71D33"/>
    <w:rsid w:val="00E71EA0"/>
    <w:rsid w:val="00E72119"/>
    <w:rsid w:val="00E72F79"/>
    <w:rsid w:val="00E73713"/>
    <w:rsid w:val="00E73B71"/>
    <w:rsid w:val="00E73F09"/>
    <w:rsid w:val="00E740EA"/>
    <w:rsid w:val="00E74917"/>
    <w:rsid w:val="00E74C95"/>
    <w:rsid w:val="00E75522"/>
    <w:rsid w:val="00E75763"/>
    <w:rsid w:val="00E75AAB"/>
    <w:rsid w:val="00E77533"/>
    <w:rsid w:val="00E808DD"/>
    <w:rsid w:val="00E80BE3"/>
    <w:rsid w:val="00E82853"/>
    <w:rsid w:val="00E82872"/>
    <w:rsid w:val="00E83287"/>
    <w:rsid w:val="00E8358A"/>
    <w:rsid w:val="00E835AE"/>
    <w:rsid w:val="00E839FE"/>
    <w:rsid w:val="00E83A60"/>
    <w:rsid w:val="00E84232"/>
    <w:rsid w:val="00E84479"/>
    <w:rsid w:val="00E850E5"/>
    <w:rsid w:val="00E8531C"/>
    <w:rsid w:val="00E867C8"/>
    <w:rsid w:val="00E86B66"/>
    <w:rsid w:val="00E87C57"/>
    <w:rsid w:val="00E87D73"/>
    <w:rsid w:val="00E87DFD"/>
    <w:rsid w:val="00E87E9E"/>
    <w:rsid w:val="00E90799"/>
    <w:rsid w:val="00E90872"/>
    <w:rsid w:val="00E90C1D"/>
    <w:rsid w:val="00E914FA"/>
    <w:rsid w:val="00E9163B"/>
    <w:rsid w:val="00E91A6E"/>
    <w:rsid w:val="00E92039"/>
    <w:rsid w:val="00E92507"/>
    <w:rsid w:val="00E928E1"/>
    <w:rsid w:val="00E92CF6"/>
    <w:rsid w:val="00E93358"/>
    <w:rsid w:val="00E949CF"/>
    <w:rsid w:val="00E951DA"/>
    <w:rsid w:val="00E953EB"/>
    <w:rsid w:val="00E955B1"/>
    <w:rsid w:val="00E95D6E"/>
    <w:rsid w:val="00E95F51"/>
    <w:rsid w:val="00E96FE6"/>
    <w:rsid w:val="00E97C17"/>
    <w:rsid w:val="00EA0119"/>
    <w:rsid w:val="00EA031B"/>
    <w:rsid w:val="00EA07CA"/>
    <w:rsid w:val="00EA1469"/>
    <w:rsid w:val="00EA15FD"/>
    <w:rsid w:val="00EA2339"/>
    <w:rsid w:val="00EA2403"/>
    <w:rsid w:val="00EA2E58"/>
    <w:rsid w:val="00EA4908"/>
    <w:rsid w:val="00EA504F"/>
    <w:rsid w:val="00EA51CD"/>
    <w:rsid w:val="00EA5B61"/>
    <w:rsid w:val="00EA6E50"/>
    <w:rsid w:val="00EA6FB8"/>
    <w:rsid w:val="00EB0B31"/>
    <w:rsid w:val="00EB1A22"/>
    <w:rsid w:val="00EB1DDF"/>
    <w:rsid w:val="00EB1FA3"/>
    <w:rsid w:val="00EB2D94"/>
    <w:rsid w:val="00EB3AD1"/>
    <w:rsid w:val="00EB5690"/>
    <w:rsid w:val="00EB5789"/>
    <w:rsid w:val="00EB63D6"/>
    <w:rsid w:val="00EB745C"/>
    <w:rsid w:val="00EB7791"/>
    <w:rsid w:val="00EB79DD"/>
    <w:rsid w:val="00EC03F1"/>
    <w:rsid w:val="00EC0728"/>
    <w:rsid w:val="00EC0B82"/>
    <w:rsid w:val="00EC0BFC"/>
    <w:rsid w:val="00EC1C95"/>
    <w:rsid w:val="00EC2676"/>
    <w:rsid w:val="00EC3209"/>
    <w:rsid w:val="00EC3476"/>
    <w:rsid w:val="00EC3916"/>
    <w:rsid w:val="00EC3D96"/>
    <w:rsid w:val="00EC3DDF"/>
    <w:rsid w:val="00EC437A"/>
    <w:rsid w:val="00EC4AAF"/>
    <w:rsid w:val="00EC4E0B"/>
    <w:rsid w:val="00EC4EA0"/>
    <w:rsid w:val="00EC5ADF"/>
    <w:rsid w:val="00EC5CC1"/>
    <w:rsid w:val="00EC6045"/>
    <w:rsid w:val="00EC66F8"/>
    <w:rsid w:val="00EC688A"/>
    <w:rsid w:val="00EC68E2"/>
    <w:rsid w:val="00EC751D"/>
    <w:rsid w:val="00EC7542"/>
    <w:rsid w:val="00EC7BE3"/>
    <w:rsid w:val="00ED0A68"/>
    <w:rsid w:val="00ED0EE4"/>
    <w:rsid w:val="00ED1049"/>
    <w:rsid w:val="00ED134A"/>
    <w:rsid w:val="00ED1BBE"/>
    <w:rsid w:val="00ED2CF2"/>
    <w:rsid w:val="00ED3DC7"/>
    <w:rsid w:val="00ED3E3B"/>
    <w:rsid w:val="00ED4F42"/>
    <w:rsid w:val="00ED51CB"/>
    <w:rsid w:val="00ED55F2"/>
    <w:rsid w:val="00ED7608"/>
    <w:rsid w:val="00ED795D"/>
    <w:rsid w:val="00ED7C55"/>
    <w:rsid w:val="00EE0C50"/>
    <w:rsid w:val="00EE0E05"/>
    <w:rsid w:val="00EE0E28"/>
    <w:rsid w:val="00EE1E7B"/>
    <w:rsid w:val="00EE3E60"/>
    <w:rsid w:val="00EE4A5D"/>
    <w:rsid w:val="00EE51B7"/>
    <w:rsid w:val="00EE5C7A"/>
    <w:rsid w:val="00EE5D3C"/>
    <w:rsid w:val="00EE76BC"/>
    <w:rsid w:val="00EE7EA1"/>
    <w:rsid w:val="00EF03B5"/>
    <w:rsid w:val="00EF0EA2"/>
    <w:rsid w:val="00EF16DF"/>
    <w:rsid w:val="00EF2AEB"/>
    <w:rsid w:val="00EF2F52"/>
    <w:rsid w:val="00EF2FDE"/>
    <w:rsid w:val="00EF368E"/>
    <w:rsid w:val="00EF369E"/>
    <w:rsid w:val="00EF4888"/>
    <w:rsid w:val="00EF4F50"/>
    <w:rsid w:val="00EF5181"/>
    <w:rsid w:val="00EF52E7"/>
    <w:rsid w:val="00EF576C"/>
    <w:rsid w:val="00EF67E4"/>
    <w:rsid w:val="00EF6CA8"/>
    <w:rsid w:val="00EF70ED"/>
    <w:rsid w:val="00EF78E2"/>
    <w:rsid w:val="00F003F8"/>
    <w:rsid w:val="00F004B0"/>
    <w:rsid w:val="00F00D9C"/>
    <w:rsid w:val="00F012D7"/>
    <w:rsid w:val="00F019C8"/>
    <w:rsid w:val="00F01AA1"/>
    <w:rsid w:val="00F01B83"/>
    <w:rsid w:val="00F01E7A"/>
    <w:rsid w:val="00F02B06"/>
    <w:rsid w:val="00F045C3"/>
    <w:rsid w:val="00F055B7"/>
    <w:rsid w:val="00F064E6"/>
    <w:rsid w:val="00F068CB"/>
    <w:rsid w:val="00F077F1"/>
    <w:rsid w:val="00F1008F"/>
    <w:rsid w:val="00F10253"/>
    <w:rsid w:val="00F10AD0"/>
    <w:rsid w:val="00F10EE9"/>
    <w:rsid w:val="00F110AA"/>
    <w:rsid w:val="00F11203"/>
    <w:rsid w:val="00F1152B"/>
    <w:rsid w:val="00F1237A"/>
    <w:rsid w:val="00F12997"/>
    <w:rsid w:val="00F130B2"/>
    <w:rsid w:val="00F13211"/>
    <w:rsid w:val="00F1365B"/>
    <w:rsid w:val="00F13C3A"/>
    <w:rsid w:val="00F142D4"/>
    <w:rsid w:val="00F158EE"/>
    <w:rsid w:val="00F15DE9"/>
    <w:rsid w:val="00F17E83"/>
    <w:rsid w:val="00F213E9"/>
    <w:rsid w:val="00F22640"/>
    <w:rsid w:val="00F226C1"/>
    <w:rsid w:val="00F229C5"/>
    <w:rsid w:val="00F23429"/>
    <w:rsid w:val="00F23B30"/>
    <w:rsid w:val="00F23E2A"/>
    <w:rsid w:val="00F2419D"/>
    <w:rsid w:val="00F2487A"/>
    <w:rsid w:val="00F24889"/>
    <w:rsid w:val="00F24E32"/>
    <w:rsid w:val="00F24E4D"/>
    <w:rsid w:val="00F24E8A"/>
    <w:rsid w:val="00F2540D"/>
    <w:rsid w:val="00F254CA"/>
    <w:rsid w:val="00F2588E"/>
    <w:rsid w:val="00F2611F"/>
    <w:rsid w:val="00F26D77"/>
    <w:rsid w:val="00F26F42"/>
    <w:rsid w:val="00F27985"/>
    <w:rsid w:val="00F3035D"/>
    <w:rsid w:val="00F310FB"/>
    <w:rsid w:val="00F317F7"/>
    <w:rsid w:val="00F31DB6"/>
    <w:rsid w:val="00F31DF8"/>
    <w:rsid w:val="00F33966"/>
    <w:rsid w:val="00F3495D"/>
    <w:rsid w:val="00F3543F"/>
    <w:rsid w:val="00F35C88"/>
    <w:rsid w:val="00F35CBC"/>
    <w:rsid w:val="00F36101"/>
    <w:rsid w:val="00F367E8"/>
    <w:rsid w:val="00F36A7F"/>
    <w:rsid w:val="00F36CA6"/>
    <w:rsid w:val="00F36E87"/>
    <w:rsid w:val="00F37FE9"/>
    <w:rsid w:val="00F40208"/>
    <w:rsid w:val="00F402E4"/>
    <w:rsid w:val="00F40318"/>
    <w:rsid w:val="00F40E45"/>
    <w:rsid w:val="00F4205A"/>
    <w:rsid w:val="00F4215E"/>
    <w:rsid w:val="00F42701"/>
    <w:rsid w:val="00F43289"/>
    <w:rsid w:val="00F43C49"/>
    <w:rsid w:val="00F43D97"/>
    <w:rsid w:val="00F4436D"/>
    <w:rsid w:val="00F4463E"/>
    <w:rsid w:val="00F44B29"/>
    <w:rsid w:val="00F44D66"/>
    <w:rsid w:val="00F45513"/>
    <w:rsid w:val="00F45703"/>
    <w:rsid w:val="00F46262"/>
    <w:rsid w:val="00F46530"/>
    <w:rsid w:val="00F47289"/>
    <w:rsid w:val="00F47A91"/>
    <w:rsid w:val="00F47B8D"/>
    <w:rsid w:val="00F5064F"/>
    <w:rsid w:val="00F5096D"/>
    <w:rsid w:val="00F50A86"/>
    <w:rsid w:val="00F5141F"/>
    <w:rsid w:val="00F5193F"/>
    <w:rsid w:val="00F52F85"/>
    <w:rsid w:val="00F531BE"/>
    <w:rsid w:val="00F53504"/>
    <w:rsid w:val="00F539CD"/>
    <w:rsid w:val="00F546EA"/>
    <w:rsid w:val="00F55088"/>
    <w:rsid w:val="00F55F8F"/>
    <w:rsid w:val="00F5612C"/>
    <w:rsid w:val="00F60668"/>
    <w:rsid w:val="00F606F6"/>
    <w:rsid w:val="00F60745"/>
    <w:rsid w:val="00F60E44"/>
    <w:rsid w:val="00F610CD"/>
    <w:rsid w:val="00F62634"/>
    <w:rsid w:val="00F62B7B"/>
    <w:rsid w:val="00F62F94"/>
    <w:rsid w:val="00F6368B"/>
    <w:rsid w:val="00F63CE7"/>
    <w:rsid w:val="00F64342"/>
    <w:rsid w:val="00F6450D"/>
    <w:rsid w:val="00F6456C"/>
    <w:rsid w:val="00F64F1F"/>
    <w:rsid w:val="00F65297"/>
    <w:rsid w:val="00F6563E"/>
    <w:rsid w:val="00F65B14"/>
    <w:rsid w:val="00F65E9F"/>
    <w:rsid w:val="00F7041B"/>
    <w:rsid w:val="00F70C2C"/>
    <w:rsid w:val="00F70E07"/>
    <w:rsid w:val="00F71972"/>
    <w:rsid w:val="00F71BD1"/>
    <w:rsid w:val="00F71E63"/>
    <w:rsid w:val="00F71F86"/>
    <w:rsid w:val="00F720BC"/>
    <w:rsid w:val="00F738CB"/>
    <w:rsid w:val="00F753F7"/>
    <w:rsid w:val="00F754D5"/>
    <w:rsid w:val="00F76041"/>
    <w:rsid w:val="00F77952"/>
    <w:rsid w:val="00F80223"/>
    <w:rsid w:val="00F804C5"/>
    <w:rsid w:val="00F81753"/>
    <w:rsid w:val="00F81EB4"/>
    <w:rsid w:val="00F8228E"/>
    <w:rsid w:val="00F822A8"/>
    <w:rsid w:val="00F82BC1"/>
    <w:rsid w:val="00F84295"/>
    <w:rsid w:val="00F850DC"/>
    <w:rsid w:val="00F87E1D"/>
    <w:rsid w:val="00F9027A"/>
    <w:rsid w:val="00F91127"/>
    <w:rsid w:val="00F91DC3"/>
    <w:rsid w:val="00F93318"/>
    <w:rsid w:val="00F94AE1"/>
    <w:rsid w:val="00F95A80"/>
    <w:rsid w:val="00F95DCA"/>
    <w:rsid w:val="00F9620B"/>
    <w:rsid w:val="00F9675F"/>
    <w:rsid w:val="00F968F1"/>
    <w:rsid w:val="00FA0D2E"/>
    <w:rsid w:val="00FA0FB4"/>
    <w:rsid w:val="00FA279F"/>
    <w:rsid w:val="00FA36CC"/>
    <w:rsid w:val="00FA3BBD"/>
    <w:rsid w:val="00FA3F5E"/>
    <w:rsid w:val="00FA418E"/>
    <w:rsid w:val="00FA491D"/>
    <w:rsid w:val="00FA5D02"/>
    <w:rsid w:val="00FA68AD"/>
    <w:rsid w:val="00FA68D2"/>
    <w:rsid w:val="00FA6B84"/>
    <w:rsid w:val="00FA7B35"/>
    <w:rsid w:val="00FA7E7F"/>
    <w:rsid w:val="00FB0571"/>
    <w:rsid w:val="00FB3382"/>
    <w:rsid w:val="00FB3C73"/>
    <w:rsid w:val="00FB3CAF"/>
    <w:rsid w:val="00FB3EEB"/>
    <w:rsid w:val="00FB4D36"/>
    <w:rsid w:val="00FB4F5A"/>
    <w:rsid w:val="00FB6287"/>
    <w:rsid w:val="00FB7843"/>
    <w:rsid w:val="00FB799E"/>
    <w:rsid w:val="00FB7A31"/>
    <w:rsid w:val="00FB7B39"/>
    <w:rsid w:val="00FB7B72"/>
    <w:rsid w:val="00FC0EDF"/>
    <w:rsid w:val="00FC10ED"/>
    <w:rsid w:val="00FC16F9"/>
    <w:rsid w:val="00FC1BD3"/>
    <w:rsid w:val="00FC1F94"/>
    <w:rsid w:val="00FC22A4"/>
    <w:rsid w:val="00FC2AC8"/>
    <w:rsid w:val="00FC2E66"/>
    <w:rsid w:val="00FC3650"/>
    <w:rsid w:val="00FC50ED"/>
    <w:rsid w:val="00FC5E0E"/>
    <w:rsid w:val="00FC6368"/>
    <w:rsid w:val="00FC641F"/>
    <w:rsid w:val="00FC6727"/>
    <w:rsid w:val="00FC6977"/>
    <w:rsid w:val="00FC69B4"/>
    <w:rsid w:val="00FC7852"/>
    <w:rsid w:val="00FD025F"/>
    <w:rsid w:val="00FD0AE3"/>
    <w:rsid w:val="00FD1631"/>
    <w:rsid w:val="00FD16D0"/>
    <w:rsid w:val="00FD1A61"/>
    <w:rsid w:val="00FD4943"/>
    <w:rsid w:val="00FD4960"/>
    <w:rsid w:val="00FD5571"/>
    <w:rsid w:val="00FD5D6B"/>
    <w:rsid w:val="00FD5F22"/>
    <w:rsid w:val="00FE0075"/>
    <w:rsid w:val="00FE0511"/>
    <w:rsid w:val="00FE0675"/>
    <w:rsid w:val="00FE0EF7"/>
    <w:rsid w:val="00FE1494"/>
    <w:rsid w:val="00FE176A"/>
    <w:rsid w:val="00FE1B9D"/>
    <w:rsid w:val="00FE2D69"/>
    <w:rsid w:val="00FE318D"/>
    <w:rsid w:val="00FE4780"/>
    <w:rsid w:val="00FE4DC2"/>
    <w:rsid w:val="00FE56D4"/>
    <w:rsid w:val="00FE573B"/>
    <w:rsid w:val="00FE5C17"/>
    <w:rsid w:val="00FE684D"/>
    <w:rsid w:val="00FE7162"/>
    <w:rsid w:val="00FE72B8"/>
    <w:rsid w:val="00FE767B"/>
    <w:rsid w:val="00FE7E12"/>
    <w:rsid w:val="00FF0339"/>
    <w:rsid w:val="00FF0C19"/>
    <w:rsid w:val="00FF0DF6"/>
    <w:rsid w:val="00FF19AD"/>
    <w:rsid w:val="00FF1EEA"/>
    <w:rsid w:val="00FF21E1"/>
    <w:rsid w:val="00FF4A41"/>
    <w:rsid w:val="00FF4D49"/>
    <w:rsid w:val="00FF647F"/>
    <w:rsid w:val="00FF6AEC"/>
    <w:rsid w:val="00FF6E7F"/>
    <w:rsid w:val="00FF7017"/>
    <w:rsid w:val="00FF71C5"/>
    <w:rsid w:val="0173A202"/>
    <w:rsid w:val="01AB9B43"/>
    <w:rsid w:val="01ABDC24"/>
    <w:rsid w:val="01D8A9A8"/>
    <w:rsid w:val="01F8AE67"/>
    <w:rsid w:val="023BA494"/>
    <w:rsid w:val="02484023"/>
    <w:rsid w:val="02645BB5"/>
    <w:rsid w:val="027BC62E"/>
    <w:rsid w:val="027FE93F"/>
    <w:rsid w:val="029F081A"/>
    <w:rsid w:val="02C5EFF0"/>
    <w:rsid w:val="02D36DC3"/>
    <w:rsid w:val="02D66A6D"/>
    <w:rsid w:val="02F6E799"/>
    <w:rsid w:val="0350830E"/>
    <w:rsid w:val="03E20802"/>
    <w:rsid w:val="0402AFDB"/>
    <w:rsid w:val="0441ED0D"/>
    <w:rsid w:val="049DBB56"/>
    <w:rsid w:val="04AE0207"/>
    <w:rsid w:val="04BA5CF6"/>
    <w:rsid w:val="04C922AA"/>
    <w:rsid w:val="04E923EA"/>
    <w:rsid w:val="04EC27D6"/>
    <w:rsid w:val="05C40076"/>
    <w:rsid w:val="05CBCE02"/>
    <w:rsid w:val="05D60DFA"/>
    <w:rsid w:val="05FF9709"/>
    <w:rsid w:val="06C3E125"/>
    <w:rsid w:val="0703C43A"/>
    <w:rsid w:val="0748D723"/>
    <w:rsid w:val="0752DD3A"/>
    <w:rsid w:val="075330C4"/>
    <w:rsid w:val="077CCDA2"/>
    <w:rsid w:val="07838293"/>
    <w:rsid w:val="07B2BBD8"/>
    <w:rsid w:val="08119B6F"/>
    <w:rsid w:val="0823C4A9"/>
    <w:rsid w:val="0823F431"/>
    <w:rsid w:val="08589536"/>
    <w:rsid w:val="0867743A"/>
    <w:rsid w:val="08A59909"/>
    <w:rsid w:val="08AB3C39"/>
    <w:rsid w:val="08E3B0A6"/>
    <w:rsid w:val="08F9130F"/>
    <w:rsid w:val="0903F019"/>
    <w:rsid w:val="093714D6"/>
    <w:rsid w:val="094EC845"/>
    <w:rsid w:val="09657419"/>
    <w:rsid w:val="09794F4A"/>
    <w:rsid w:val="09AFF7D0"/>
    <w:rsid w:val="09EF93D6"/>
    <w:rsid w:val="0A27538F"/>
    <w:rsid w:val="0A638B75"/>
    <w:rsid w:val="0A63FF9D"/>
    <w:rsid w:val="0A6AE17C"/>
    <w:rsid w:val="0AB179E6"/>
    <w:rsid w:val="0AE65DA5"/>
    <w:rsid w:val="0AFB8203"/>
    <w:rsid w:val="0B538E1B"/>
    <w:rsid w:val="0B8C80A6"/>
    <w:rsid w:val="0BA5E60D"/>
    <w:rsid w:val="0BB12BCC"/>
    <w:rsid w:val="0BB3CD76"/>
    <w:rsid w:val="0C37DC53"/>
    <w:rsid w:val="0C9D2EC9"/>
    <w:rsid w:val="0CA94C8A"/>
    <w:rsid w:val="0D88DB16"/>
    <w:rsid w:val="0DFE8F9F"/>
    <w:rsid w:val="0E211EA0"/>
    <w:rsid w:val="0E40DF44"/>
    <w:rsid w:val="0E9FB72A"/>
    <w:rsid w:val="0EBA80ED"/>
    <w:rsid w:val="0EE89A03"/>
    <w:rsid w:val="0F07F06A"/>
    <w:rsid w:val="0F3D8FB7"/>
    <w:rsid w:val="0F7CF040"/>
    <w:rsid w:val="0FB0F8F5"/>
    <w:rsid w:val="0FD6A342"/>
    <w:rsid w:val="0FE12773"/>
    <w:rsid w:val="10040D7B"/>
    <w:rsid w:val="1037A75A"/>
    <w:rsid w:val="104BCD94"/>
    <w:rsid w:val="10A68906"/>
    <w:rsid w:val="10B88B7E"/>
    <w:rsid w:val="10E06299"/>
    <w:rsid w:val="10FA4B1F"/>
    <w:rsid w:val="11164A18"/>
    <w:rsid w:val="1116820A"/>
    <w:rsid w:val="116B8B1E"/>
    <w:rsid w:val="11DD3C75"/>
    <w:rsid w:val="12385E12"/>
    <w:rsid w:val="125005EB"/>
    <w:rsid w:val="12DD9D84"/>
    <w:rsid w:val="12EDDCF7"/>
    <w:rsid w:val="12EDF0A1"/>
    <w:rsid w:val="1335DC7D"/>
    <w:rsid w:val="138A5A7B"/>
    <w:rsid w:val="1398C5A2"/>
    <w:rsid w:val="13A494B9"/>
    <w:rsid w:val="13B68EDC"/>
    <w:rsid w:val="13C0404B"/>
    <w:rsid w:val="13C8CBC1"/>
    <w:rsid w:val="141E6FEC"/>
    <w:rsid w:val="142C6F77"/>
    <w:rsid w:val="14373906"/>
    <w:rsid w:val="145E2E0B"/>
    <w:rsid w:val="1495BBBC"/>
    <w:rsid w:val="157CBD9C"/>
    <w:rsid w:val="15A3417B"/>
    <w:rsid w:val="15D30967"/>
    <w:rsid w:val="15D668EC"/>
    <w:rsid w:val="15D71B35"/>
    <w:rsid w:val="161CD9D3"/>
    <w:rsid w:val="1628A5E9"/>
    <w:rsid w:val="1644C772"/>
    <w:rsid w:val="164E876E"/>
    <w:rsid w:val="16A06535"/>
    <w:rsid w:val="16E17FF8"/>
    <w:rsid w:val="16E747AE"/>
    <w:rsid w:val="1746842A"/>
    <w:rsid w:val="1755F639"/>
    <w:rsid w:val="17907018"/>
    <w:rsid w:val="17FCC791"/>
    <w:rsid w:val="183A77B5"/>
    <w:rsid w:val="184E0636"/>
    <w:rsid w:val="18A07C67"/>
    <w:rsid w:val="190AAA29"/>
    <w:rsid w:val="19450A12"/>
    <w:rsid w:val="19552626"/>
    <w:rsid w:val="1974B432"/>
    <w:rsid w:val="19A1BB74"/>
    <w:rsid w:val="1A1A9587"/>
    <w:rsid w:val="1A45F2DF"/>
    <w:rsid w:val="1ACA9A66"/>
    <w:rsid w:val="1AEBE671"/>
    <w:rsid w:val="1AF0C512"/>
    <w:rsid w:val="1B0132FD"/>
    <w:rsid w:val="1B08631D"/>
    <w:rsid w:val="1B7707CA"/>
    <w:rsid w:val="1BA70763"/>
    <w:rsid w:val="1BB91F9A"/>
    <w:rsid w:val="1BBD264C"/>
    <w:rsid w:val="1BBF1949"/>
    <w:rsid w:val="1BC1F6BE"/>
    <w:rsid w:val="1C3D5E50"/>
    <w:rsid w:val="1C7E93C9"/>
    <w:rsid w:val="1CCC47E6"/>
    <w:rsid w:val="1D15D229"/>
    <w:rsid w:val="1DC73A84"/>
    <w:rsid w:val="1DCD2B7D"/>
    <w:rsid w:val="1DDA3567"/>
    <w:rsid w:val="1DE2E521"/>
    <w:rsid w:val="1E4563F8"/>
    <w:rsid w:val="1EABDBC1"/>
    <w:rsid w:val="1EE4B259"/>
    <w:rsid w:val="1EEECFD5"/>
    <w:rsid w:val="1EF91E1C"/>
    <w:rsid w:val="1EFDE917"/>
    <w:rsid w:val="1F24F4CE"/>
    <w:rsid w:val="1F35AF49"/>
    <w:rsid w:val="1F49F44F"/>
    <w:rsid w:val="1F8B463B"/>
    <w:rsid w:val="1F97DBC9"/>
    <w:rsid w:val="1FAB71A5"/>
    <w:rsid w:val="1FC2F002"/>
    <w:rsid w:val="1FCA6413"/>
    <w:rsid w:val="1FD4F7AC"/>
    <w:rsid w:val="206C5D31"/>
    <w:rsid w:val="2070C875"/>
    <w:rsid w:val="20B59C6B"/>
    <w:rsid w:val="20C573FD"/>
    <w:rsid w:val="20D1A242"/>
    <w:rsid w:val="216FD8E6"/>
    <w:rsid w:val="21750F03"/>
    <w:rsid w:val="2193E3F6"/>
    <w:rsid w:val="2220314F"/>
    <w:rsid w:val="227E807E"/>
    <w:rsid w:val="227F3AD5"/>
    <w:rsid w:val="230EF9F3"/>
    <w:rsid w:val="232F7C7E"/>
    <w:rsid w:val="23A8EF44"/>
    <w:rsid w:val="23F6EED3"/>
    <w:rsid w:val="2405166E"/>
    <w:rsid w:val="2461F5C3"/>
    <w:rsid w:val="24777B19"/>
    <w:rsid w:val="249C3A1B"/>
    <w:rsid w:val="24BB38EF"/>
    <w:rsid w:val="24D96BEE"/>
    <w:rsid w:val="24E7EF1C"/>
    <w:rsid w:val="24EAD3A1"/>
    <w:rsid w:val="25026192"/>
    <w:rsid w:val="25411FC3"/>
    <w:rsid w:val="256A85DD"/>
    <w:rsid w:val="25786E09"/>
    <w:rsid w:val="25E0FDDE"/>
    <w:rsid w:val="261A80D1"/>
    <w:rsid w:val="26CC63E3"/>
    <w:rsid w:val="27196449"/>
    <w:rsid w:val="274ADFB6"/>
    <w:rsid w:val="276C1399"/>
    <w:rsid w:val="277A856E"/>
    <w:rsid w:val="27A72406"/>
    <w:rsid w:val="27DA23EB"/>
    <w:rsid w:val="2800FB94"/>
    <w:rsid w:val="286916BA"/>
    <w:rsid w:val="2871C481"/>
    <w:rsid w:val="2949FE77"/>
    <w:rsid w:val="2987B14E"/>
    <w:rsid w:val="29C9264B"/>
    <w:rsid w:val="29E902F7"/>
    <w:rsid w:val="2A1588DD"/>
    <w:rsid w:val="2A29BC30"/>
    <w:rsid w:val="2A38CFE0"/>
    <w:rsid w:val="2A51050B"/>
    <w:rsid w:val="2A7E9E5D"/>
    <w:rsid w:val="2A9C7F23"/>
    <w:rsid w:val="2A9CCC69"/>
    <w:rsid w:val="2AB66249"/>
    <w:rsid w:val="2ACBEE6C"/>
    <w:rsid w:val="2B2E7AF3"/>
    <w:rsid w:val="2B6501A6"/>
    <w:rsid w:val="2B835493"/>
    <w:rsid w:val="2BA4244D"/>
    <w:rsid w:val="2BA6D9DE"/>
    <w:rsid w:val="2BB80352"/>
    <w:rsid w:val="2D6D287D"/>
    <w:rsid w:val="2D7E6075"/>
    <w:rsid w:val="2D9F1AB4"/>
    <w:rsid w:val="2E1A9C1A"/>
    <w:rsid w:val="2E2EFF24"/>
    <w:rsid w:val="2E2F17C2"/>
    <w:rsid w:val="2E49B50D"/>
    <w:rsid w:val="2E9ACDC9"/>
    <w:rsid w:val="2EAC5FBE"/>
    <w:rsid w:val="2EE86A97"/>
    <w:rsid w:val="2F5BEF14"/>
    <w:rsid w:val="2F729FD5"/>
    <w:rsid w:val="2F96EF95"/>
    <w:rsid w:val="300461C8"/>
    <w:rsid w:val="301A557D"/>
    <w:rsid w:val="30272656"/>
    <w:rsid w:val="30C0468F"/>
    <w:rsid w:val="30EB1AB0"/>
    <w:rsid w:val="30F067C2"/>
    <w:rsid w:val="3154E8D2"/>
    <w:rsid w:val="318155CF"/>
    <w:rsid w:val="318E8BAC"/>
    <w:rsid w:val="320B6148"/>
    <w:rsid w:val="322EEFDF"/>
    <w:rsid w:val="32B72452"/>
    <w:rsid w:val="32C46EA8"/>
    <w:rsid w:val="32D83115"/>
    <w:rsid w:val="32DC91C1"/>
    <w:rsid w:val="32FE9AF0"/>
    <w:rsid w:val="331D2630"/>
    <w:rsid w:val="332DF0A7"/>
    <w:rsid w:val="334C2E41"/>
    <w:rsid w:val="336C13F3"/>
    <w:rsid w:val="342C38FF"/>
    <w:rsid w:val="343DB78D"/>
    <w:rsid w:val="34753643"/>
    <w:rsid w:val="34AC71F7"/>
    <w:rsid w:val="34C8F36B"/>
    <w:rsid w:val="352A6053"/>
    <w:rsid w:val="3593B7B2"/>
    <w:rsid w:val="35DC7703"/>
    <w:rsid w:val="361106A4"/>
    <w:rsid w:val="361368A1"/>
    <w:rsid w:val="362C90FE"/>
    <w:rsid w:val="363E409C"/>
    <w:rsid w:val="364B40BD"/>
    <w:rsid w:val="36637C3E"/>
    <w:rsid w:val="36655F9F"/>
    <w:rsid w:val="36A4DE63"/>
    <w:rsid w:val="36D67DA0"/>
    <w:rsid w:val="3746DD2C"/>
    <w:rsid w:val="37ACD705"/>
    <w:rsid w:val="37AFB6CE"/>
    <w:rsid w:val="37F09753"/>
    <w:rsid w:val="38C037EF"/>
    <w:rsid w:val="38EBCB9F"/>
    <w:rsid w:val="391A38CA"/>
    <w:rsid w:val="39599692"/>
    <w:rsid w:val="39DA5D6D"/>
    <w:rsid w:val="3A1EAA9C"/>
    <w:rsid w:val="3A517386"/>
    <w:rsid w:val="3A5A2604"/>
    <w:rsid w:val="3B0B24AB"/>
    <w:rsid w:val="3B2D78AE"/>
    <w:rsid w:val="3B4CBDA7"/>
    <w:rsid w:val="3BAE8B65"/>
    <w:rsid w:val="3CA62EED"/>
    <w:rsid w:val="3CCEAFF9"/>
    <w:rsid w:val="3CD821F1"/>
    <w:rsid w:val="3D120FCD"/>
    <w:rsid w:val="3D490500"/>
    <w:rsid w:val="3D6312F2"/>
    <w:rsid w:val="3D95D61F"/>
    <w:rsid w:val="3DA31D81"/>
    <w:rsid w:val="3E1F12AC"/>
    <w:rsid w:val="3E55A96A"/>
    <w:rsid w:val="3EB246C5"/>
    <w:rsid w:val="3EB90AFA"/>
    <w:rsid w:val="3EBB63C3"/>
    <w:rsid w:val="3EE694FD"/>
    <w:rsid w:val="3F077E12"/>
    <w:rsid w:val="3F3BD7FC"/>
    <w:rsid w:val="3F7922BE"/>
    <w:rsid w:val="3F923FC0"/>
    <w:rsid w:val="4029916F"/>
    <w:rsid w:val="40316E9E"/>
    <w:rsid w:val="408A51DB"/>
    <w:rsid w:val="410F07EF"/>
    <w:rsid w:val="4154594A"/>
    <w:rsid w:val="4156ED49"/>
    <w:rsid w:val="4162A3DF"/>
    <w:rsid w:val="419A18A9"/>
    <w:rsid w:val="419BDDA3"/>
    <w:rsid w:val="41ACC1D5"/>
    <w:rsid w:val="41C5B98D"/>
    <w:rsid w:val="4217F5F0"/>
    <w:rsid w:val="42216F6D"/>
    <w:rsid w:val="4247BC83"/>
    <w:rsid w:val="425768C2"/>
    <w:rsid w:val="42A2081C"/>
    <w:rsid w:val="42BE1EC2"/>
    <w:rsid w:val="42C2CD60"/>
    <w:rsid w:val="42D53813"/>
    <w:rsid w:val="42F029AB"/>
    <w:rsid w:val="42F1E78C"/>
    <w:rsid w:val="43472678"/>
    <w:rsid w:val="43B46173"/>
    <w:rsid w:val="44349EAA"/>
    <w:rsid w:val="443B6FD9"/>
    <w:rsid w:val="444C84C3"/>
    <w:rsid w:val="4470BB05"/>
    <w:rsid w:val="448BFA0C"/>
    <w:rsid w:val="4494F3CE"/>
    <w:rsid w:val="44A47C3A"/>
    <w:rsid w:val="44B256DB"/>
    <w:rsid w:val="45937D26"/>
    <w:rsid w:val="45BFC08A"/>
    <w:rsid w:val="45E77155"/>
    <w:rsid w:val="462B5CBB"/>
    <w:rsid w:val="4640661A"/>
    <w:rsid w:val="46643243"/>
    <w:rsid w:val="46A7E281"/>
    <w:rsid w:val="46DFECA3"/>
    <w:rsid w:val="46FD0238"/>
    <w:rsid w:val="4749FFC7"/>
    <w:rsid w:val="47867D6C"/>
    <w:rsid w:val="47A1FA2F"/>
    <w:rsid w:val="47AD9B72"/>
    <w:rsid w:val="47B025BC"/>
    <w:rsid w:val="47C97EE3"/>
    <w:rsid w:val="47D0B389"/>
    <w:rsid w:val="47E5D635"/>
    <w:rsid w:val="4810745B"/>
    <w:rsid w:val="4874B098"/>
    <w:rsid w:val="487B8977"/>
    <w:rsid w:val="48E5D028"/>
    <w:rsid w:val="49293891"/>
    <w:rsid w:val="493F7FEE"/>
    <w:rsid w:val="494FC3B8"/>
    <w:rsid w:val="496391F0"/>
    <w:rsid w:val="497A3440"/>
    <w:rsid w:val="498BC6DC"/>
    <w:rsid w:val="49AF595D"/>
    <w:rsid w:val="49C460B5"/>
    <w:rsid w:val="4A145F6F"/>
    <w:rsid w:val="4AD6D5FC"/>
    <w:rsid w:val="4AF3A07E"/>
    <w:rsid w:val="4B0D529E"/>
    <w:rsid w:val="4B2C2BC4"/>
    <w:rsid w:val="4B392A9E"/>
    <w:rsid w:val="4B89929D"/>
    <w:rsid w:val="4C2AFBC6"/>
    <w:rsid w:val="4C62478C"/>
    <w:rsid w:val="4C6353DB"/>
    <w:rsid w:val="4CAF1E34"/>
    <w:rsid w:val="4CB9DBE3"/>
    <w:rsid w:val="4CF3B796"/>
    <w:rsid w:val="4CF4BBCB"/>
    <w:rsid w:val="4D0F4F57"/>
    <w:rsid w:val="4D1133DD"/>
    <w:rsid w:val="4D3EEE95"/>
    <w:rsid w:val="4D625DC6"/>
    <w:rsid w:val="4D82E3F5"/>
    <w:rsid w:val="4DAD5755"/>
    <w:rsid w:val="4DB26754"/>
    <w:rsid w:val="4DCBFF2E"/>
    <w:rsid w:val="4E1B08DD"/>
    <w:rsid w:val="4E77416D"/>
    <w:rsid w:val="4E9530BE"/>
    <w:rsid w:val="4EEBDCBB"/>
    <w:rsid w:val="4EF0722E"/>
    <w:rsid w:val="4EF519F2"/>
    <w:rsid w:val="4EF732C6"/>
    <w:rsid w:val="4F9F84FA"/>
    <w:rsid w:val="4FA4FE12"/>
    <w:rsid w:val="4FC21982"/>
    <w:rsid w:val="5002895B"/>
    <w:rsid w:val="5027EA9E"/>
    <w:rsid w:val="503B2217"/>
    <w:rsid w:val="506C7B3D"/>
    <w:rsid w:val="507C1889"/>
    <w:rsid w:val="5096A494"/>
    <w:rsid w:val="50AD08D1"/>
    <w:rsid w:val="50F635CB"/>
    <w:rsid w:val="515BF9DC"/>
    <w:rsid w:val="51777E67"/>
    <w:rsid w:val="52798327"/>
    <w:rsid w:val="52F2E1B2"/>
    <w:rsid w:val="52FE6C8B"/>
    <w:rsid w:val="53238505"/>
    <w:rsid w:val="539E47E7"/>
    <w:rsid w:val="53A0212B"/>
    <w:rsid w:val="53C8F42A"/>
    <w:rsid w:val="53EF7FD3"/>
    <w:rsid w:val="543B291C"/>
    <w:rsid w:val="5455DBE3"/>
    <w:rsid w:val="54D7411F"/>
    <w:rsid w:val="5524FF22"/>
    <w:rsid w:val="55285BB1"/>
    <w:rsid w:val="554B0F45"/>
    <w:rsid w:val="5556FAA6"/>
    <w:rsid w:val="56081A66"/>
    <w:rsid w:val="5637DCF2"/>
    <w:rsid w:val="567EEC67"/>
    <w:rsid w:val="56A4B03D"/>
    <w:rsid w:val="56A4E665"/>
    <w:rsid w:val="5751C7C7"/>
    <w:rsid w:val="58A58DCB"/>
    <w:rsid w:val="59569837"/>
    <w:rsid w:val="597DE053"/>
    <w:rsid w:val="59CA3B3B"/>
    <w:rsid w:val="59CC1706"/>
    <w:rsid w:val="59DA2824"/>
    <w:rsid w:val="59F4A2B0"/>
    <w:rsid w:val="5A467029"/>
    <w:rsid w:val="5A685B34"/>
    <w:rsid w:val="5AA02C08"/>
    <w:rsid w:val="5AAF8E29"/>
    <w:rsid w:val="5AB05FD0"/>
    <w:rsid w:val="5AEAC394"/>
    <w:rsid w:val="5B0CC371"/>
    <w:rsid w:val="5B258731"/>
    <w:rsid w:val="5B25FFA0"/>
    <w:rsid w:val="5B75F885"/>
    <w:rsid w:val="5B92020D"/>
    <w:rsid w:val="5B93F18A"/>
    <w:rsid w:val="5BDE020C"/>
    <w:rsid w:val="5C0CA456"/>
    <w:rsid w:val="5C370C46"/>
    <w:rsid w:val="5C429D38"/>
    <w:rsid w:val="5CD10ADA"/>
    <w:rsid w:val="5CE6B687"/>
    <w:rsid w:val="5D541CEE"/>
    <w:rsid w:val="5DE97259"/>
    <w:rsid w:val="5DEEA2A9"/>
    <w:rsid w:val="5DF69267"/>
    <w:rsid w:val="5E3472F5"/>
    <w:rsid w:val="5E7AE70C"/>
    <w:rsid w:val="5F1AB326"/>
    <w:rsid w:val="5F297EC7"/>
    <w:rsid w:val="5F3950FF"/>
    <w:rsid w:val="5F834979"/>
    <w:rsid w:val="5FAB80DB"/>
    <w:rsid w:val="5FBD964A"/>
    <w:rsid w:val="60E557CF"/>
    <w:rsid w:val="60E7DFF9"/>
    <w:rsid w:val="60F2817C"/>
    <w:rsid w:val="6199A5EF"/>
    <w:rsid w:val="621EC0FC"/>
    <w:rsid w:val="623B1580"/>
    <w:rsid w:val="62B3B4A4"/>
    <w:rsid w:val="62D50951"/>
    <w:rsid w:val="62E0432F"/>
    <w:rsid w:val="630F50E9"/>
    <w:rsid w:val="63747D2F"/>
    <w:rsid w:val="6380424E"/>
    <w:rsid w:val="63847F8A"/>
    <w:rsid w:val="63C93B7F"/>
    <w:rsid w:val="63F89CF5"/>
    <w:rsid w:val="640CCF8E"/>
    <w:rsid w:val="6465768F"/>
    <w:rsid w:val="649BCC58"/>
    <w:rsid w:val="64B84C3A"/>
    <w:rsid w:val="64C5A3C5"/>
    <w:rsid w:val="64DE256E"/>
    <w:rsid w:val="64EA5B1F"/>
    <w:rsid w:val="650B40C3"/>
    <w:rsid w:val="651CC25E"/>
    <w:rsid w:val="651CDACB"/>
    <w:rsid w:val="65541433"/>
    <w:rsid w:val="6557CC7C"/>
    <w:rsid w:val="659B5BDB"/>
    <w:rsid w:val="65D993E3"/>
    <w:rsid w:val="664FB235"/>
    <w:rsid w:val="665B221F"/>
    <w:rsid w:val="66B8AB2C"/>
    <w:rsid w:val="66DEEA8A"/>
    <w:rsid w:val="66FCE54E"/>
    <w:rsid w:val="67292AD3"/>
    <w:rsid w:val="676FB1AA"/>
    <w:rsid w:val="678E4BEC"/>
    <w:rsid w:val="67DC87F7"/>
    <w:rsid w:val="67EEFEC7"/>
    <w:rsid w:val="68662751"/>
    <w:rsid w:val="686EE5D6"/>
    <w:rsid w:val="68933971"/>
    <w:rsid w:val="68EB3CBE"/>
    <w:rsid w:val="6935225A"/>
    <w:rsid w:val="6985220C"/>
    <w:rsid w:val="69A4B7D4"/>
    <w:rsid w:val="6A0D9A96"/>
    <w:rsid w:val="6A1E762C"/>
    <w:rsid w:val="6A231CC8"/>
    <w:rsid w:val="6A39C0DC"/>
    <w:rsid w:val="6A6D9AE0"/>
    <w:rsid w:val="6AD2030D"/>
    <w:rsid w:val="6AD66A73"/>
    <w:rsid w:val="6AEA4785"/>
    <w:rsid w:val="6B3D55F6"/>
    <w:rsid w:val="6B72F3F2"/>
    <w:rsid w:val="6B731387"/>
    <w:rsid w:val="6B952EB9"/>
    <w:rsid w:val="6BCE5014"/>
    <w:rsid w:val="6C08F07F"/>
    <w:rsid w:val="6C0B2616"/>
    <w:rsid w:val="6C5EC95F"/>
    <w:rsid w:val="6C85304D"/>
    <w:rsid w:val="6CC4E0F5"/>
    <w:rsid w:val="6CC66A30"/>
    <w:rsid w:val="6CD94A4E"/>
    <w:rsid w:val="6D225BFA"/>
    <w:rsid w:val="6D3BE0DE"/>
    <w:rsid w:val="6DA3EB84"/>
    <w:rsid w:val="6DA6F677"/>
    <w:rsid w:val="6DBFAE70"/>
    <w:rsid w:val="6DDA76B6"/>
    <w:rsid w:val="6E5530FE"/>
    <w:rsid w:val="6E85732C"/>
    <w:rsid w:val="6EA85568"/>
    <w:rsid w:val="6F16CD6F"/>
    <w:rsid w:val="6F9E3DB6"/>
    <w:rsid w:val="703C30D6"/>
    <w:rsid w:val="7063E15C"/>
    <w:rsid w:val="707849A6"/>
    <w:rsid w:val="70D2A15D"/>
    <w:rsid w:val="71566218"/>
    <w:rsid w:val="715F800C"/>
    <w:rsid w:val="7164A678"/>
    <w:rsid w:val="721E1612"/>
    <w:rsid w:val="7237A74D"/>
    <w:rsid w:val="728644EB"/>
    <w:rsid w:val="72CF22B2"/>
    <w:rsid w:val="743A8A3C"/>
    <w:rsid w:val="7495AB9A"/>
    <w:rsid w:val="749AF9E4"/>
    <w:rsid w:val="74A55B70"/>
    <w:rsid w:val="74FC4A86"/>
    <w:rsid w:val="7513757A"/>
    <w:rsid w:val="7578228C"/>
    <w:rsid w:val="758DFE93"/>
    <w:rsid w:val="75A190C0"/>
    <w:rsid w:val="763585E3"/>
    <w:rsid w:val="769FEBDE"/>
    <w:rsid w:val="770066C5"/>
    <w:rsid w:val="774FF650"/>
    <w:rsid w:val="776D3BBF"/>
    <w:rsid w:val="777298EE"/>
    <w:rsid w:val="7798CD87"/>
    <w:rsid w:val="77A0E315"/>
    <w:rsid w:val="7802C04C"/>
    <w:rsid w:val="7802EE66"/>
    <w:rsid w:val="781459E6"/>
    <w:rsid w:val="785F3CF7"/>
    <w:rsid w:val="78780778"/>
    <w:rsid w:val="78FADDE9"/>
    <w:rsid w:val="7901F867"/>
    <w:rsid w:val="794E1003"/>
    <w:rsid w:val="79B6E6FA"/>
    <w:rsid w:val="79C2C924"/>
    <w:rsid w:val="79F05A4F"/>
    <w:rsid w:val="7A56C149"/>
    <w:rsid w:val="7A719609"/>
    <w:rsid w:val="7AC7E1F1"/>
    <w:rsid w:val="7AFF6A16"/>
    <w:rsid w:val="7B11F79C"/>
    <w:rsid w:val="7B4C6633"/>
    <w:rsid w:val="7B7DCF75"/>
    <w:rsid w:val="7B8E734C"/>
    <w:rsid w:val="7BB03474"/>
    <w:rsid w:val="7C3104C9"/>
    <w:rsid w:val="7C4CB7FB"/>
    <w:rsid w:val="7CE0D084"/>
    <w:rsid w:val="7D4B6CA4"/>
    <w:rsid w:val="7D694617"/>
    <w:rsid w:val="7D78AE01"/>
    <w:rsid w:val="7D8BD646"/>
    <w:rsid w:val="7D946EE3"/>
    <w:rsid w:val="7DA8BB23"/>
    <w:rsid w:val="7DFABACA"/>
    <w:rsid w:val="7E3724F1"/>
    <w:rsid w:val="7E427A95"/>
    <w:rsid w:val="7EA41FCE"/>
    <w:rsid w:val="7EC32CEC"/>
    <w:rsid w:val="7F0E96DE"/>
    <w:rsid w:val="7F162824"/>
    <w:rsid w:val="7F250A60"/>
    <w:rsid w:val="7F465E1C"/>
    <w:rsid w:val="7F65792B"/>
    <w:rsid w:val="7F81FB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2901C82"/>
  <w15:chartTrackingRefBased/>
  <w15:docId w15:val="{3179A868-1CAB-4793-9476-1932BDA3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1A5"/>
  </w:style>
  <w:style w:type="paragraph" w:styleId="Heading1">
    <w:name w:val="heading 1"/>
    <w:basedOn w:val="Normal"/>
    <w:next w:val="Normal"/>
    <w:qFormat/>
    <w:pPr>
      <w:keepNext/>
      <w:spacing w:line="240" w:lineRule="exact"/>
      <w:outlineLvl w:val="0"/>
    </w:pPr>
    <w:rPr>
      <w:b/>
      <w:sz w:val="24"/>
      <w:u w:val="single"/>
    </w:rPr>
  </w:style>
  <w:style w:type="paragraph" w:styleId="Heading2">
    <w:name w:val="heading 2"/>
    <w:basedOn w:val="Normal"/>
    <w:next w:val="Normal"/>
    <w:qFormat/>
    <w:pPr>
      <w:keepNext/>
      <w:tabs>
        <w:tab w:val="left" w:pos="720"/>
      </w:tabs>
      <w:jc w:val="center"/>
      <w:outlineLvl w:val="1"/>
    </w:pPr>
    <w:rPr>
      <w:rFonts w:ascii="Book Antiqua" w:hAnsi="Book Antiqua"/>
      <w:b/>
      <w:smallCaps/>
      <w:sz w:val="28"/>
    </w:rPr>
  </w:style>
  <w:style w:type="paragraph" w:styleId="Heading3">
    <w:name w:val="heading 3"/>
    <w:basedOn w:val="Normal"/>
    <w:next w:val="Normal"/>
    <w:link w:val="Heading3Char"/>
    <w:qFormat/>
    <w:pPr>
      <w:keepNext/>
      <w:spacing w:line="360" w:lineRule="atLeast"/>
      <w:jc w:val="center"/>
      <w:outlineLvl w:val="2"/>
    </w:pPr>
    <w:rPr>
      <w:rFonts w:ascii="Book Antiqua" w:hAnsi="Book Antiqua"/>
      <w:b/>
      <w:smallCaps/>
      <w:sz w:val="24"/>
      <w:lang w:val="x-none" w:eastAsia="x-none"/>
    </w:rPr>
  </w:style>
  <w:style w:type="paragraph" w:styleId="Heading4">
    <w:name w:val="heading 4"/>
    <w:basedOn w:val="Normal"/>
    <w:next w:val="Normal"/>
    <w:qFormat/>
    <w:pPr>
      <w:keepNext/>
      <w:spacing w:line="-240" w:lineRule="auto"/>
      <w:jc w:val="center"/>
      <w:outlineLvl w:val="3"/>
    </w:pPr>
    <w:rPr>
      <w:b/>
      <w:sz w:val="24"/>
      <w:u w:val="single"/>
    </w:rPr>
  </w:style>
  <w:style w:type="paragraph" w:styleId="Heading5">
    <w:name w:val="heading 5"/>
    <w:basedOn w:val="Normal"/>
    <w:next w:val="Normal"/>
    <w:qFormat/>
    <w:pPr>
      <w:keepNext/>
      <w:tabs>
        <w:tab w:val="left" w:pos="720"/>
      </w:tabs>
      <w:spacing w:line="216" w:lineRule="atLeast"/>
      <w:ind w:left="720" w:hanging="720"/>
      <w:jc w:val="center"/>
      <w:outlineLvl w:val="4"/>
    </w:pPr>
    <w:rPr>
      <w:b/>
      <w:sz w:val="24"/>
    </w:rPr>
  </w:style>
  <w:style w:type="paragraph" w:styleId="Heading6">
    <w:name w:val="heading 6"/>
    <w:basedOn w:val="Normal"/>
    <w:next w:val="Normal"/>
    <w:qFormat/>
    <w:pPr>
      <w:keepNext/>
      <w:tabs>
        <w:tab w:val="left" w:pos="720"/>
      </w:tabs>
      <w:spacing w:line="216" w:lineRule="atLeast"/>
      <w:ind w:left="720" w:hanging="720"/>
      <w:jc w:val="both"/>
      <w:outlineLvl w:val="5"/>
    </w:pPr>
    <w:rPr>
      <w:rFonts w:ascii="Arial" w:hAnsi="Arial"/>
      <w:b/>
      <w:u w:val="single"/>
    </w:rPr>
  </w:style>
  <w:style w:type="paragraph" w:styleId="Heading7">
    <w:name w:val="heading 7"/>
    <w:basedOn w:val="Normal"/>
    <w:next w:val="Normal"/>
    <w:qFormat/>
    <w:pPr>
      <w:keepNext/>
      <w:spacing w:line="240" w:lineRule="exact"/>
      <w:outlineLvl w:val="6"/>
    </w:pPr>
    <w:rPr>
      <w:b/>
      <w:sz w:val="24"/>
    </w:rPr>
  </w:style>
  <w:style w:type="paragraph" w:styleId="Heading8">
    <w:name w:val="heading 8"/>
    <w:basedOn w:val="Normal"/>
    <w:next w:val="Normal"/>
    <w:qFormat/>
    <w:pPr>
      <w:keepNext/>
      <w:jc w:val="both"/>
      <w:outlineLvl w:val="7"/>
    </w:pPr>
    <w:rPr>
      <w:sz w:val="24"/>
      <w:u w:val="single"/>
    </w:rPr>
  </w:style>
  <w:style w:type="paragraph" w:styleId="Heading9">
    <w:name w:val="heading 9"/>
    <w:basedOn w:val="Normal"/>
    <w:next w:val="Normal"/>
    <w:qFormat/>
    <w:pPr>
      <w:keepNext/>
      <w:tabs>
        <w:tab w:val="left" w:pos="432"/>
      </w:tabs>
      <w:ind w:left="360" w:hanging="360"/>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Subtitle">
    <w:name w:val="Subtitle"/>
    <w:basedOn w:val="Normal"/>
    <w:qFormat/>
    <w:pPr>
      <w:jc w:val="center"/>
    </w:pPr>
    <w:rPr>
      <w:b/>
      <w:sz w:val="22"/>
    </w:rPr>
  </w:style>
  <w:style w:type="character" w:styleId="Strong">
    <w:name w:val="Strong"/>
    <w:qFormat/>
    <w:rPr>
      <w:b/>
    </w:rPr>
  </w:style>
  <w:style w:type="paragraph" w:styleId="BodyText">
    <w:name w:val="Body Text"/>
    <w:basedOn w:val="Normal"/>
    <w:pPr>
      <w:jc w:val="both"/>
    </w:pPr>
    <w:rPr>
      <w:rFonts w:ascii="Arial" w:hAnsi="Arial"/>
      <w:color w:val="0000FF"/>
    </w:rPr>
  </w:style>
  <w:style w:type="paragraph" w:styleId="BodyText2">
    <w:name w:val="Body Text 2"/>
    <w:basedOn w:val="Normal"/>
    <w:pPr>
      <w:spacing w:line="240" w:lineRule="exact"/>
    </w:pPr>
    <w:rPr>
      <w:sz w:val="24"/>
    </w:rPr>
  </w:style>
  <w:style w:type="paragraph" w:styleId="BodyText3">
    <w:name w:val="Body Text 3"/>
    <w:basedOn w:val="Normal"/>
    <w:pPr>
      <w:spacing w:line="240" w:lineRule="exact"/>
    </w:pPr>
    <w:rPr>
      <w:b/>
      <w:caps/>
      <w:sz w:val="24"/>
      <w:u w:val="single"/>
    </w:rPr>
  </w:style>
  <w:style w:type="paragraph" w:styleId="BodyTextIndent">
    <w:name w:val="Body Text Indent"/>
    <w:basedOn w:val="Normal"/>
    <w:pPr>
      <w:spacing w:line="240" w:lineRule="exact"/>
      <w:ind w:left="720"/>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tabs>
        <w:tab w:val="left" w:pos="1440"/>
      </w:tabs>
      <w:spacing w:after="240" w:line="240" w:lineRule="atLeast"/>
      <w:ind w:left="1872"/>
      <w:jc w:val="both"/>
    </w:pPr>
    <w:rPr>
      <w:rFonts w:ascii="Arial" w:hAnsi="Arial"/>
    </w:rPr>
  </w:style>
  <w:style w:type="paragraph" w:styleId="BodyTextIndent3">
    <w:name w:val="Body Text Indent 3"/>
    <w:basedOn w:val="Normal"/>
    <w:pPr>
      <w:spacing w:after="240" w:line="240" w:lineRule="atLeast"/>
      <w:ind w:left="2016"/>
      <w:jc w:val="both"/>
    </w:pPr>
    <w:rPr>
      <w:rFonts w:ascii="Arial" w:hAnsi="Arial"/>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E032C4"/>
    <w:rPr>
      <w:rFonts w:ascii="Tahoma" w:hAnsi="Tahoma" w:cs="Tahoma"/>
      <w:sz w:val="16"/>
      <w:szCs w:val="16"/>
    </w:rPr>
  </w:style>
  <w:style w:type="paragraph" w:styleId="NormalWeb">
    <w:name w:val="Normal (Web)"/>
    <w:basedOn w:val="Normal"/>
    <w:uiPriority w:val="99"/>
    <w:unhideWhenUsed/>
    <w:rsid w:val="000A504F"/>
    <w:pPr>
      <w:spacing w:before="100" w:beforeAutospacing="1" w:after="100" w:afterAutospacing="1"/>
    </w:pPr>
    <w:rPr>
      <w:rFonts w:eastAsia="Calibri"/>
      <w:sz w:val="24"/>
      <w:szCs w:val="24"/>
    </w:rPr>
  </w:style>
  <w:style w:type="paragraph" w:styleId="ListParagraph">
    <w:name w:val="List Paragraph"/>
    <w:basedOn w:val="Normal"/>
    <w:uiPriority w:val="34"/>
    <w:qFormat/>
    <w:rsid w:val="000A504F"/>
    <w:pPr>
      <w:ind w:left="720"/>
    </w:pPr>
    <w:rPr>
      <w:rFonts w:ascii="Calibri" w:eastAsia="Calibri" w:hAnsi="Calibri"/>
      <w:sz w:val="22"/>
      <w:szCs w:val="22"/>
    </w:rPr>
  </w:style>
  <w:style w:type="character" w:customStyle="1" w:styleId="Heading3Char">
    <w:name w:val="Heading 3 Char"/>
    <w:link w:val="Heading3"/>
    <w:rsid w:val="00376A5E"/>
    <w:rPr>
      <w:rFonts w:ascii="Book Antiqua" w:hAnsi="Book Antiqua"/>
      <w:b/>
      <w:smallCaps/>
      <w:sz w:val="24"/>
    </w:rPr>
  </w:style>
  <w:style w:type="character" w:customStyle="1" w:styleId="HeaderChar">
    <w:name w:val="Header Char"/>
    <w:basedOn w:val="DefaultParagraphFont"/>
    <w:link w:val="Header"/>
    <w:rsid w:val="00376A5E"/>
  </w:style>
  <w:style w:type="character" w:styleId="UnresolvedMention">
    <w:name w:val="Unresolved Mention"/>
    <w:basedOn w:val="DefaultParagraphFont"/>
    <w:uiPriority w:val="99"/>
    <w:semiHidden/>
    <w:unhideWhenUsed/>
    <w:rsid w:val="0081043F"/>
    <w:rPr>
      <w:color w:val="605E5C"/>
      <w:shd w:val="clear" w:color="auto" w:fill="E1DFDD"/>
    </w:rPr>
  </w:style>
  <w:style w:type="character" w:styleId="CommentReference">
    <w:name w:val="annotation reference"/>
    <w:basedOn w:val="DefaultParagraphFont"/>
    <w:rsid w:val="003A71C0"/>
    <w:rPr>
      <w:sz w:val="16"/>
      <w:szCs w:val="16"/>
    </w:rPr>
  </w:style>
  <w:style w:type="paragraph" w:styleId="CommentText">
    <w:name w:val="annotation text"/>
    <w:basedOn w:val="Normal"/>
    <w:link w:val="CommentTextChar"/>
    <w:rsid w:val="003A71C0"/>
  </w:style>
  <w:style w:type="character" w:customStyle="1" w:styleId="CommentTextChar">
    <w:name w:val="Comment Text Char"/>
    <w:basedOn w:val="DefaultParagraphFont"/>
    <w:link w:val="CommentText"/>
    <w:rsid w:val="003A71C0"/>
  </w:style>
  <w:style w:type="paragraph" w:styleId="CommentSubject">
    <w:name w:val="annotation subject"/>
    <w:basedOn w:val="CommentText"/>
    <w:next w:val="CommentText"/>
    <w:link w:val="CommentSubjectChar"/>
    <w:rsid w:val="003A71C0"/>
    <w:rPr>
      <w:b/>
      <w:bCs/>
    </w:rPr>
  </w:style>
  <w:style w:type="character" w:customStyle="1" w:styleId="CommentSubjectChar">
    <w:name w:val="Comment Subject Char"/>
    <w:basedOn w:val="CommentTextChar"/>
    <w:link w:val="CommentSubject"/>
    <w:rsid w:val="003A71C0"/>
    <w:rPr>
      <w:b/>
      <w:bCs/>
    </w:rPr>
  </w:style>
  <w:style w:type="table" w:styleId="TableGrid">
    <w:name w:val="Table Grid"/>
    <w:basedOn w:val="TableNormal"/>
    <w:rsid w:val="0083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6FFE"/>
  </w:style>
  <w:style w:type="paragraph" w:customStyle="1" w:styleId="paragraph">
    <w:name w:val="paragraph"/>
    <w:basedOn w:val="Normal"/>
    <w:rsid w:val="00D5654E"/>
    <w:pPr>
      <w:spacing w:before="100" w:beforeAutospacing="1" w:after="100" w:afterAutospacing="1"/>
    </w:pPr>
    <w:rPr>
      <w:sz w:val="24"/>
      <w:szCs w:val="24"/>
    </w:rPr>
  </w:style>
  <w:style w:type="character" w:customStyle="1" w:styleId="normaltextrun">
    <w:name w:val="normaltextrun"/>
    <w:basedOn w:val="DefaultParagraphFont"/>
    <w:rsid w:val="00D5654E"/>
  </w:style>
  <w:style w:type="character" w:customStyle="1" w:styleId="eop">
    <w:name w:val="eop"/>
    <w:basedOn w:val="DefaultParagraphFont"/>
    <w:rsid w:val="00D5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60">
      <w:bodyDiv w:val="1"/>
      <w:marLeft w:val="0"/>
      <w:marRight w:val="0"/>
      <w:marTop w:val="0"/>
      <w:marBottom w:val="0"/>
      <w:divBdr>
        <w:top w:val="none" w:sz="0" w:space="0" w:color="auto"/>
        <w:left w:val="none" w:sz="0" w:space="0" w:color="auto"/>
        <w:bottom w:val="none" w:sz="0" w:space="0" w:color="auto"/>
        <w:right w:val="none" w:sz="0" w:space="0" w:color="auto"/>
      </w:divBdr>
    </w:div>
    <w:div w:id="181749456">
      <w:bodyDiv w:val="1"/>
      <w:marLeft w:val="0"/>
      <w:marRight w:val="0"/>
      <w:marTop w:val="0"/>
      <w:marBottom w:val="0"/>
      <w:divBdr>
        <w:top w:val="none" w:sz="0" w:space="0" w:color="auto"/>
        <w:left w:val="none" w:sz="0" w:space="0" w:color="auto"/>
        <w:bottom w:val="none" w:sz="0" w:space="0" w:color="auto"/>
        <w:right w:val="none" w:sz="0" w:space="0" w:color="auto"/>
      </w:divBdr>
    </w:div>
    <w:div w:id="296499431">
      <w:bodyDiv w:val="1"/>
      <w:marLeft w:val="0"/>
      <w:marRight w:val="0"/>
      <w:marTop w:val="0"/>
      <w:marBottom w:val="0"/>
      <w:divBdr>
        <w:top w:val="none" w:sz="0" w:space="0" w:color="auto"/>
        <w:left w:val="none" w:sz="0" w:space="0" w:color="auto"/>
        <w:bottom w:val="none" w:sz="0" w:space="0" w:color="auto"/>
        <w:right w:val="none" w:sz="0" w:space="0" w:color="auto"/>
      </w:divBdr>
    </w:div>
    <w:div w:id="340664525">
      <w:bodyDiv w:val="1"/>
      <w:marLeft w:val="0"/>
      <w:marRight w:val="0"/>
      <w:marTop w:val="0"/>
      <w:marBottom w:val="0"/>
      <w:divBdr>
        <w:top w:val="none" w:sz="0" w:space="0" w:color="auto"/>
        <w:left w:val="none" w:sz="0" w:space="0" w:color="auto"/>
        <w:bottom w:val="none" w:sz="0" w:space="0" w:color="auto"/>
        <w:right w:val="none" w:sz="0" w:space="0" w:color="auto"/>
      </w:divBdr>
    </w:div>
    <w:div w:id="351539165">
      <w:bodyDiv w:val="1"/>
      <w:marLeft w:val="0"/>
      <w:marRight w:val="0"/>
      <w:marTop w:val="0"/>
      <w:marBottom w:val="0"/>
      <w:divBdr>
        <w:top w:val="none" w:sz="0" w:space="0" w:color="auto"/>
        <w:left w:val="none" w:sz="0" w:space="0" w:color="auto"/>
        <w:bottom w:val="none" w:sz="0" w:space="0" w:color="auto"/>
        <w:right w:val="none" w:sz="0" w:space="0" w:color="auto"/>
      </w:divBdr>
    </w:div>
    <w:div w:id="431437473">
      <w:bodyDiv w:val="1"/>
      <w:marLeft w:val="0"/>
      <w:marRight w:val="0"/>
      <w:marTop w:val="0"/>
      <w:marBottom w:val="0"/>
      <w:divBdr>
        <w:top w:val="none" w:sz="0" w:space="0" w:color="auto"/>
        <w:left w:val="none" w:sz="0" w:space="0" w:color="auto"/>
        <w:bottom w:val="none" w:sz="0" w:space="0" w:color="auto"/>
        <w:right w:val="none" w:sz="0" w:space="0" w:color="auto"/>
      </w:divBdr>
    </w:div>
    <w:div w:id="474686645">
      <w:bodyDiv w:val="1"/>
      <w:marLeft w:val="0"/>
      <w:marRight w:val="0"/>
      <w:marTop w:val="0"/>
      <w:marBottom w:val="0"/>
      <w:divBdr>
        <w:top w:val="none" w:sz="0" w:space="0" w:color="auto"/>
        <w:left w:val="none" w:sz="0" w:space="0" w:color="auto"/>
        <w:bottom w:val="none" w:sz="0" w:space="0" w:color="auto"/>
        <w:right w:val="none" w:sz="0" w:space="0" w:color="auto"/>
      </w:divBdr>
    </w:div>
    <w:div w:id="646860357">
      <w:bodyDiv w:val="1"/>
      <w:marLeft w:val="0"/>
      <w:marRight w:val="0"/>
      <w:marTop w:val="0"/>
      <w:marBottom w:val="0"/>
      <w:divBdr>
        <w:top w:val="none" w:sz="0" w:space="0" w:color="auto"/>
        <w:left w:val="none" w:sz="0" w:space="0" w:color="auto"/>
        <w:bottom w:val="none" w:sz="0" w:space="0" w:color="auto"/>
        <w:right w:val="none" w:sz="0" w:space="0" w:color="auto"/>
      </w:divBdr>
    </w:div>
    <w:div w:id="680745216">
      <w:bodyDiv w:val="1"/>
      <w:marLeft w:val="0"/>
      <w:marRight w:val="0"/>
      <w:marTop w:val="0"/>
      <w:marBottom w:val="150"/>
      <w:divBdr>
        <w:top w:val="none" w:sz="0" w:space="0" w:color="auto"/>
        <w:left w:val="none" w:sz="0" w:space="0" w:color="auto"/>
        <w:bottom w:val="none" w:sz="0" w:space="0" w:color="auto"/>
        <w:right w:val="none" w:sz="0" w:space="0" w:color="auto"/>
      </w:divBdr>
      <w:divsChild>
        <w:div w:id="338973386">
          <w:marLeft w:val="0"/>
          <w:marRight w:val="0"/>
          <w:marTop w:val="150"/>
          <w:marBottom w:val="150"/>
          <w:divBdr>
            <w:top w:val="single" w:sz="6" w:space="0" w:color="000033"/>
            <w:left w:val="single" w:sz="6" w:space="0" w:color="000033"/>
            <w:bottom w:val="single" w:sz="6" w:space="0" w:color="000033"/>
            <w:right w:val="single" w:sz="6" w:space="0" w:color="000033"/>
          </w:divBdr>
          <w:divsChild>
            <w:div w:id="654796284">
              <w:marLeft w:val="0"/>
              <w:marRight w:val="0"/>
              <w:marTop w:val="0"/>
              <w:marBottom w:val="0"/>
              <w:divBdr>
                <w:top w:val="none" w:sz="0" w:space="0" w:color="auto"/>
                <w:left w:val="none" w:sz="0" w:space="0" w:color="auto"/>
                <w:bottom w:val="none" w:sz="0" w:space="0" w:color="auto"/>
                <w:right w:val="none" w:sz="0" w:space="0" w:color="auto"/>
              </w:divBdr>
              <w:divsChild>
                <w:div w:id="1587153812">
                  <w:marLeft w:val="0"/>
                  <w:marRight w:val="0"/>
                  <w:marTop w:val="150"/>
                  <w:marBottom w:val="150"/>
                  <w:divBdr>
                    <w:top w:val="none" w:sz="0" w:space="0" w:color="auto"/>
                    <w:left w:val="none" w:sz="0" w:space="0" w:color="auto"/>
                    <w:bottom w:val="none" w:sz="0" w:space="0" w:color="auto"/>
                    <w:right w:val="none" w:sz="0" w:space="0" w:color="auto"/>
                  </w:divBdr>
                  <w:divsChild>
                    <w:div w:id="13105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5544">
      <w:bodyDiv w:val="1"/>
      <w:marLeft w:val="0"/>
      <w:marRight w:val="0"/>
      <w:marTop w:val="0"/>
      <w:marBottom w:val="0"/>
      <w:divBdr>
        <w:top w:val="none" w:sz="0" w:space="0" w:color="auto"/>
        <w:left w:val="none" w:sz="0" w:space="0" w:color="auto"/>
        <w:bottom w:val="none" w:sz="0" w:space="0" w:color="auto"/>
        <w:right w:val="none" w:sz="0" w:space="0" w:color="auto"/>
      </w:divBdr>
    </w:div>
    <w:div w:id="1093863759">
      <w:bodyDiv w:val="1"/>
      <w:marLeft w:val="0"/>
      <w:marRight w:val="0"/>
      <w:marTop w:val="0"/>
      <w:marBottom w:val="0"/>
      <w:divBdr>
        <w:top w:val="none" w:sz="0" w:space="0" w:color="auto"/>
        <w:left w:val="none" w:sz="0" w:space="0" w:color="auto"/>
        <w:bottom w:val="none" w:sz="0" w:space="0" w:color="auto"/>
        <w:right w:val="none" w:sz="0" w:space="0" w:color="auto"/>
      </w:divBdr>
    </w:div>
    <w:div w:id="1137458502">
      <w:bodyDiv w:val="1"/>
      <w:marLeft w:val="0"/>
      <w:marRight w:val="0"/>
      <w:marTop w:val="0"/>
      <w:marBottom w:val="0"/>
      <w:divBdr>
        <w:top w:val="none" w:sz="0" w:space="0" w:color="auto"/>
        <w:left w:val="none" w:sz="0" w:space="0" w:color="auto"/>
        <w:bottom w:val="none" w:sz="0" w:space="0" w:color="auto"/>
        <w:right w:val="none" w:sz="0" w:space="0" w:color="auto"/>
      </w:divBdr>
    </w:div>
    <w:div w:id="1217162058">
      <w:bodyDiv w:val="1"/>
      <w:marLeft w:val="0"/>
      <w:marRight w:val="0"/>
      <w:marTop w:val="0"/>
      <w:marBottom w:val="0"/>
      <w:divBdr>
        <w:top w:val="none" w:sz="0" w:space="0" w:color="auto"/>
        <w:left w:val="none" w:sz="0" w:space="0" w:color="auto"/>
        <w:bottom w:val="none" w:sz="0" w:space="0" w:color="auto"/>
        <w:right w:val="none" w:sz="0" w:space="0" w:color="auto"/>
      </w:divBdr>
    </w:div>
    <w:div w:id="1333408497">
      <w:bodyDiv w:val="1"/>
      <w:marLeft w:val="0"/>
      <w:marRight w:val="0"/>
      <w:marTop w:val="0"/>
      <w:marBottom w:val="0"/>
      <w:divBdr>
        <w:top w:val="none" w:sz="0" w:space="0" w:color="auto"/>
        <w:left w:val="none" w:sz="0" w:space="0" w:color="auto"/>
        <w:bottom w:val="none" w:sz="0" w:space="0" w:color="auto"/>
        <w:right w:val="none" w:sz="0" w:space="0" w:color="auto"/>
      </w:divBdr>
    </w:div>
    <w:div w:id="1436712487">
      <w:bodyDiv w:val="1"/>
      <w:marLeft w:val="0"/>
      <w:marRight w:val="0"/>
      <w:marTop w:val="0"/>
      <w:marBottom w:val="0"/>
      <w:divBdr>
        <w:top w:val="none" w:sz="0" w:space="0" w:color="auto"/>
        <w:left w:val="none" w:sz="0" w:space="0" w:color="auto"/>
        <w:bottom w:val="none" w:sz="0" w:space="0" w:color="auto"/>
        <w:right w:val="none" w:sz="0" w:space="0" w:color="auto"/>
      </w:divBdr>
      <w:divsChild>
        <w:div w:id="282347637">
          <w:marLeft w:val="0"/>
          <w:marRight w:val="0"/>
          <w:marTop w:val="0"/>
          <w:marBottom w:val="0"/>
          <w:divBdr>
            <w:top w:val="none" w:sz="0" w:space="0" w:color="auto"/>
            <w:left w:val="none" w:sz="0" w:space="0" w:color="auto"/>
            <w:bottom w:val="none" w:sz="0" w:space="0" w:color="auto"/>
            <w:right w:val="none" w:sz="0" w:space="0" w:color="auto"/>
          </w:divBdr>
          <w:divsChild>
            <w:div w:id="185994835">
              <w:marLeft w:val="0"/>
              <w:marRight w:val="0"/>
              <w:marTop w:val="30"/>
              <w:marBottom w:val="30"/>
              <w:divBdr>
                <w:top w:val="none" w:sz="0" w:space="0" w:color="auto"/>
                <w:left w:val="none" w:sz="0" w:space="0" w:color="auto"/>
                <w:bottom w:val="none" w:sz="0" w:space="0" w:color="auto"/>
                <w:right w:val="none" w:sz="0" w:space="0" w:color="auto"/>
              </w:divBdr>
              <w:divsChild>
                <w:div w:id="89863284">
                  <w:marLeft w:val="0"/>
                  <w:marRight w:val="0"/>
                  <w:marTop w:val="0"/>
                  <w:marBottom w:val="0"/>
                  <w:divBdr>
                    <w:top w:val="none" w:sz="0" w:space="0" w:color="auto"/>
                    <w:left w:val="none" w:sz="0" w:space="0" w:color="auto"/>
                    <w:bottom w:val="none" w:sz="0" w:space="0" w:color="auto"/>
                    <w:right w:val="none" w:sz="0" w:space="0" w:color="auto"/>
                  </w:divBdr>
                  <w:divsChild>
                    <w:div w:id="1388064725">
                      <w:marLeft w:val="0"/>
                      <w:marRight w:val="0"/>
                      <w:marTop w:val="0"/>
                      <w:marBottom w:val="0"/>
                      <w:divBdr>
                        <w:top w:val="none" w:sz="0" w:space="0" w:color="auto"/>
                        <w:left w:val="none" w:sz="0" w:space="0" w:color="auto"/>
                        <w:bottom w:val="none" w:sz="0" w:space="0" w:color="auto"/>
                        <w:right w:val="none" w:sz="0" w:space="0" w:color="auto"/>
                      </w:divBdr>
                    </w:div>
                  </w:divsChild>
                </w:div>
                <w:div w:id="193542427">
                  <w:marLeft w:val="0"/>
                  <w:marRight w:val="0"/>
                  <w:marTop w:val="0"/>
                  <w:marBottom w:val="0"/>
                  <w:divBdr>
                    <w:top w:val="none" w:sz="0" w:space="0" w:color="auto"/>
                    <w:left w:val="none" w:sz="0" w:space="0" w:color="auto"/>
                    <w:bottom w:val="none" w:sz="0" w:space="0" w:color="auto"/>
                    <w:right w:val="none" w:sz="0" w:space="0" w:color="auto"/>
                  </w:divBdr>
                  <w:divsChild>
                    <w:div w:id="1322004257">
                      <w:marLeft w:val="0"/>
                      <w:marRight w:val="0"/>
                      <w:marTop w:val="0"/>
                      <w:marBottom w:val="0"/>
                      <w:divBdr>
                        <w:top w:val="none" w:sz="0" w:space="0" w:color="auto"/>
                        <w:left w:val="none" w:sz="0" w:space="0" w:color="auto"/>
                        <w:bottom w:val="none" w:sz="0" w:space="0" w:color="auto"/>
                        <w:right w:val="none" w:sz="0" w:space="0" w:color="auto"/>
                      </w:divBdr>
                    </w:div>
                  </w:divsChild>
                </w:div>
                <w:div w:id="210190484">
                  <w:marLeft w:val="0"/>
                  <w:marRight w:val="0"/>
                  <w:marTop w:val="0"/>
                  <w:marBottom w:val="0"/>
                  <w:divBdr>
                    <w:top w:val="none" w:sz="0" w:space="0" w:color="auto"/>
                    <w:left w:val="none" w:sz="0" w:space="0" w:color="auto"/>
                    <w:bottom w:val="none" w:sz="0" w:space="0" w:color="auto"/>
                    <w:right w:val="none" w:sz="0" w:space="0" w:color="auto"/>
                  </w:divBdr>
                  <w:divsChild>
                    <w:div w:id="936602158">
                      <w:marLeft w:val="0"/>
                      <w:marRight w:val="0"/>
                      <w:marTop w:val="0"/>
                      <w:marBottom w:val="0"/>
                      <w:divBdr>
                        <w:top w:val="none" w:sz="0" w:space="0" w:color="auto"/>
                        <w:left w:val="none" w:sz="0" w:space="0" w:color="auto"/>
                        <w:bottom w:val="none" w:sz="0" w:space="0" w:color="auto"/>
                        <w:right w:val="none" w:sz="0" w:space="0" w:color="auto"/>
                      </w:divBdr>
                    </w:div>
                  </w:divsChild>
                </w:div>
                <w:div w:id="261185986">
                  <w:marLeft w:val="0"/>
                  <w:marRight w:val="0"/>
                  <w:marTop w:val="0"/>
                  <w:marBottom w:val="0"/>
                  <w:divBdr>
                    <w:top w:val="none" w:sz="0" w:space="0" w:color="auto"/>
                    <w:left w:val="none" w:sz="0" w:space="0" w:color="auto"/>
                    <w:bottom w:val="none" w:sz="0" w:space="0" w:color="auto"/>
                    <w:right w:val="none" w:sz="0" w:space="0" w:color="auto"/>
                  </w:divBdr>
                  <w:divsChild>
                    <w:div w:id="1950431066">
                      <w:marLeft w:val="0"/>
                      <w:marRight w:val="0"/>
                      <w:marTop w:val="0"/>
                      <w:marBottom w:val="0"/>
                      <w:divBdr>
                        <w:top w:val="none" w:sz="0" w:space="0" w:color="auto"/>
                        <w:left w:val="none" w:sz="0" w:space="0" w:color="auto"/>
                        <w:bottom w:val="none" w:sz="0" w:space="0" w:color="auto"/>
                        <w:right w:val="none" w:sz="0" w:space="0" w:color="auto"/>
                      </w:divBdr>
                    </w:div>
                  </w:divsChild>
                </w:div>
                <w:div w:id="334234193">
                  <w:marLeft w:val="0"/>
                  <w:marRight w:val="0"/>
                  <w:marTop w:val="0"/>
                  <w:marBottom w:val="0"/>
                  <w:divBdr>
                    <w:top w:val="none" w:sz="0" w:space="0" w:color="auto"/>
                    <w:left w:val="none" w:sz="0" w:space="0" w:color="auto"/>
                    <w:bottom w:val="none" w:sz="0" w:space="0" w:color="auto"/>
                    <w:right w:val="none" w:sz="0" w:space="0" w:color="auto"/>
                  </w:divBdr>
                  <w:divsChild>
                    <w:div w:id="1913853530">
                      <w:marLeft w:val="0"/>
                      <w:marRight w:val="0"/>
                      <w:marTop w:val="0"/>
                      <w:marBottom w:val="0"/>
                      <w:divBdr>
                        <w:top w:val="none" w:sz="0" w:space="0" w:color="auto"/>
                        <w:left w:val="none" w:sz="0" w:space="0" w:color="auto"/>
                        <w:bottom w:val="none" w:sz="0" w:space="0" w:color="auto"/>
                        <w:right w:val="none" w:sz="0" w:space="0" w:color="auto"/>
                      </w:divBdr>
                    </w:div>
                  </w:divsChild>
                </w:div>
                <w:div w:id="374698694">
                  <w:marLeft w:val="0"/>
                  <w:marRight w:val="0"/>
                  <w:marTop w:val="0"/>
                  <w:marBottom w:val="0"/>
                  <w:divBdr>
                    <w:top w:val="none" w:sz="0" w:space="0" w:color="auto"/>
                    <w:left w:val="none" w:sz="0" w:space="0" w:color="auto"/>
                    <w:bottom w:val="none" w:sz="0" w:space="0" w:color="auto"/>
                    <w:right w:val="none" w:sz="0" w:space="0" w:color="auto"/>
                  </w:divBdr>
                  <w:divsChild>
                    <w:div w:id="1835606406">
                      <w:marLeft w:val="0"/>
                      <w:marRight w:val="0"/>
                      <w:marTop w:val="0"/>
                      <w:marBottom w:val="0"/>
                      <w:divBdr>
                        <w:top w:val="none" w:sz="0" w:space="0" w:color="auto"/>
                        <w:left w:val="none" w:sz="0" w:space="0" w:color="auto"/>
                        <w:bottom w:val="none" w:sz="0" w:space="0" w:color="auto"/>
                        <w:right w:val="none" w:sz="0" w:space="0" w:color="auto"/>
                      </w:divBdr>
                    </w:div>
                  </w:divsChild>
                </w:div>
                <w:div w:id="390543120">
                  <w:marLeft w:val="0"/>
                  <w:marRight w:val="0"/>
                  <w:marTop w:val="0"/>
                  <w:marBottom w:val="0"/>
                  <w:divBdr>
                    <w:top w:val="none" w:sz="0" w:space="0" w:color="auto"/>
                    <w:left w:val="none" w:sz="0" w:space="0" w:color="auto"/>
                    <w:bottom w:val="none" w:sz="0" w:space="0" w:color="auto"/>
                    <w:right w:val="none" w:sz="0" w:space="0" w:color="auto"/>
                  </w:divBdr>
                  <w:divsChild>
                    <w:div w:id="1410153113">
                      <w:marLeft w:val="0"/>
                      <w:marRight w:val="0"/>
                      <w:marTop w:val="0"/>
                      <w:marBottom w:val="0"/>
                      <w:divBdr>
                        <w:top w:val="none" w:sz="0" w:space="0" w:color="auto"/>
                        <w:left w:val="none" w:sz="0" w:space="0" w:color="auto"/>
                        <w:bottom w:val="none" w:sz="0" w:space="0" w:color="auto"/>
                        <w:right w:val="none" w:sz="0" w:space="0" w:color="auto"/>
                      </w:divBdr>
                    </w:div>
                  </w:divsChild>
                </w:div>
                <w:div w:id="482936400">
                  <w:marLeft w:val="0"/>
                  <w:marRight w:val="0"/>
                  <w:marTop w:val="0"/>
                  <w:marBottom w:val="0"/>
                  <w:divBdr>
                    <w:top w:val="none" w:sz="0" w:space="0" w:color="auto"/>
                    <w:left w:val="none" w:sz="0" w:space="0" w:color="auto"/>
                    <w:bottom w:val="none" w:sz="0" w:space="0" w:color="auto"/>
                    <w:right w:val="none" w:sz="0" w:space="0" w:color="auto"/>
                  </w:divBdr>
                  <w:divsChild>
                    <w:div w:id="824514015">
                      <w:marLeft w:val="0"/>
                      <w:marRight w:val="0"/>
                      <w:marTop w:val="0"/>
                      <w:marBottom w:val="0"/>
                      <w:divBdr>
                        <w:top w:val="none" w:sz="0" w:space="0" w:color="auto"/>
                        <w:left w:val="none" w:sz="0" w:space="0" w:color="auto"/>
                        <w:bottom w:val="none" w:sz="0" w:space="0" w:color="auto"/>
                        <w:right w:val="none" w:sz="0" w:space="0" w:color="auto"/>
                      </w:divBdr>
                    </w:div>
                  </w:divsChild>
                </w:div>
                <w:div w:id="629554328">
                  <w:marLeft w:val="0"/>
                  <w:marRight w:val="0"/>
                  <w:marTop w:val="0"/>
                  <w:marBottom w:val="0"/>
                  <w:divBdr>
                    <w:top w:val="none" w:sz="0" w:space="0" w:color="auto"/>
                    <w:left w:val="none" w:sz="0" w:space="0" w:color="auto"/>
                    <w:bottom w:val="none" w:sz="0" w:space="0" w:color="auto"/>
                    <w:right w:val="none" w:sz="0" w:space="0" w:color="auto"/>
                  </w:divBdr>
                  <w:divsChild>
                    <w:div w:id="1441487245">
                      <w:marLeft w:val="0"/>
                      <w:marRight w:val="0"/>
                      <w:marTop w:val="0"/>
                      <w:marBottom w:val="0"/>
                      <w:divBdr>
                        <w:top w:val="none" w:sz="0" w:space="0" w:color="auto"/>
                        <w:left w:val="none" w:sz="0" w:space="0" w:color="auto"/>
                        <w:bottom w:val="none" w:sz="0" w:space="0" w:color="auto"/>
                        <w:right w:val="none" w:sz="0" w:space="0" w:color="auto"/>
                      </w:divBdr>
                    </w:div>
                  </w:divsChild>
                </w:div>
                <w:div w:id="647588046">
                  <w:marLeft w:val="0"/>
                  <w:marRight w:val="0"/>
                  <w:marTop w:val="0"/>
                  <w:marBottom w:val="0"/>
                  <w:divBdr>
                    <w:top w:val="none" w:sz="0" w:space="0" w:color="auto"/>
                    <w:left w:val="none" w:sz="0" w:space="0" w:color="auto"/>
                    <w:bottom w:val="none" w:sz="0" w:space="0" w:color="auto"/>
                    <w:right w:val="none" w:sz="0" w:space="0" w:color="auto"/>
                  </w:divBdr>
                  <w:divsChild>
                    <w:div w:id="407650546">
                      <w:marLeft w:val="0"/>
                      <w:marRight w:val="0"/>
                      <w:marTop w:val="0"/>
                      <w:marBottom w:val="0"/>
                      <w:divBdr>
                        <w:top w:val="none" w:sz="0" w:space="0" w:color="auto"/>
                        <w:left w:val="none" w:sz="0" w:space="0" w:color="auto"/>
                        <w:bottom w:val="none" w:sz="0" w:space="0" w:color="auto"/>
                        <w:right w:val="none" w:sz="0" w:space="0" w:color="auto"/>
                      </w:divBdr>
                    </w:div>
                  </w:divsChild>
                </w:div>
                <w:div w:id="674918322">
                  <w:marLeft w:val="0"/>
                  <w:marRight w:val="0"/>
                  <w:marTop w:val="0"/>
                  <w:marBottom w:val="0"/>
                  <w:divBdr>
                    <w:top w:val="none" w:sz="0" w:space="0" w:color="auto"/>
                    <w:left w:val="none" w:sz="0" w:space="0" w:color="auto"/>
                    <w:bottom w:val="none" w:sz="0" w:space="0" w:color="auto"/>
                    <w:right w:val="none" w:sz="0" w:space="0" w:color="auto"/>
                  </w:divBdr>
                  <w:divsChild>
                    <w:div w:id="1215462196">
                      <w:marLeft w:val="0"/>
                      <w:marRight w:val="0"/>
                      <w:marTop w:val="0"/>
                      <w:marBottom w:val="0"/>
                      <w:divBdr>
                        <w:top w:val="none" w:sz="0" w:space="0" w:color="auto"/>
                        <w:left w:val="none" w:sz="0" w:space="0" w:color="auto"/>
                        <w:bottom w:val="none" w:sz="0" w:space="0" w:color="auto"/>
                        <w:right w:val="none" w:sz="0" w:space="0" w:color="auto"/>
                      </w:divBdr>
                    </w:div>
                  </w:divsChild>
                </w:div>
                <w:div w:id="820196942">
                  <w:marLeft w:val="0"/>
                  <w:marRight w:val="0"/>
                  <w:marTop w:val="0"/>
                  <w:marBottom w:val="0"/>
                  <w:divBdr>
                    <w:top w:val="none" w:sz="0" w:space="0" w:color="auto"/>
                    <w:left w:val="none" w:sz="0" w:space="0" w:color="auto"/>
                    <w:bottom w:val="none" w:sz="0" w:space="0" w:color="auto"/>
                    <w:right w:val="none" w:sz="0" w:space="0" w:color="auto"/>
                  </w:divBdr>
                  <w:divsChild>
                    <w:div w:id="2021466816">
                      <w:marLeft w:val="0"/>
                      <w:marRight w:val="0"/>
                      <w:marTop w:val="0"/>
                      <w:marBottom w:val="0"/>
                      <w:divBdr>
                        <w:top w:val="none" w:sz="0" w:space="0" w:color="auto"/>
                        <w:left w:val="none" w:sz="0" w:space="0" w:color="auto"/>
                        <w:bottom w:val="none" w:sz="0" w:space="0" w:color="auto"/>
                        <w:right w:val="none" w:sz="0" w:space="0" w:color="auto"/>
                      </w:divBdr>
                    </w:div>
                  </w:divsChild>
                </w:div>
                <w:div w:id="954751234">
                  <w:marLeft w:val="0"/>
                  <w:marRight w:val="0"/>
                  <w:marTop w:val="0"/>
                  <w:marBottom w:val="0"/>
                  <w:divBdr>
                    <w:top w:val="none" w:sz="0" w:space="0" w:color="auto"/>
                    <w:left w:val="none" w:sz="0" w:space="0" w:color="auto"/>
                    <w:bottom w:val="none" w:sz="0" w:space="0" w:color="auto"/>
                    <w:right w:val="none" w:sz="0" w:space="0" w:color="auto"/>
                  </w:divBdr>
                  <w:divsChild>
                    <w:div w:id="1254390791">
                      <w:marLeft w:val="0"/>
                      <w:marRight w:val="0"/>
                      <w:marTop w:val="0"/>
                      <w:marBottom w:val="0"/>
                      <w:divBdr>
                        <w:top w:val="none" w:sz="0" w:space="0" w:color="auto"/>
                        <w:left w:val="none" w:sz="0" w:space="0" w:color="auto"/>
                        <w:bottom w:val="none" w:sz="0" w:space="0" w:color="auto"/>
                        <w:right w:val="none" w:sz="0" w:space="0" w:color="auto"/>
                      </w:divBdr>
                    </w:div>
                  </w:divsChild>
                </w:div>
                <w:div w:id="980959465">
                  <w:marLeft w:val="0"/>
                  <w:marRight w:val="0"/>
                  <w:marTop w:val="0"/>
                  <w:marBottom w:val="0"/>
                  <w:divBdr>
                    <w:top w:val="none" w:sz="0" w:space="0" w:color="auto"/>
                    <w:left w:val="none" w:sz="0" w:space="0" w:color="auto"/>
                    <w:bottom w:val="none" w:sz="0" w:space="0" w:color="auto"/>
                    <w:right w:val="none" w:sz="0" w:space="0" w:color="auto"/>
                  </w:divBdr>
                  <w:divsChild>
                    <w:div w:id="206185262">
                      <w:marLeft w:val="0"/>
                      <w:marRight w:val="0"/>
                      <w:marTop w:val="0"/>
                      <w:marBottom w:val="0"/>
                      <w:divBdr>
                        <w:top w:val="none" w:sz="0" w:space="0" w:color="auto"/>
                        <w:left w:val="none" w:sz="0" w:space="0" w:color="auto"/>
                        <w:bottom w:val="none" w:sz="0" w:space="0" w:color="auto"/>
                        <w:right w:val="none" w:sz="0" w:space="0" w:color="auto"/>
                      </w:divBdr>
                    </w:div>
                  </w:divsChild>
                </w:div>
                <w:div w:id="987590369">
                  <w:marLeft w:val="0"/>
                  <w:marRight w:val="0"/>
                  <w:marTop w:val="0"/>
                  <w:marBottom w:val="0"/>
                  <w:divBdr>
                    <w:top w:val="none" w:sz="0" w:space="0" w:color="auto"/>
                    <w:left w:val="none" w:sz="0" w:space="0" w:color="auto"/>
                    <w:bottom w:val="none" w:sz="0" w:space="0" w:color="auto"/>
                    <w:right w:val="none" w:sz="0" w:space="0" w:color="auto"/>
                  </w:divBdr>
                  <w:divsChild>
                    <w:div w:id="727723750">
                      <w:marLeft w:val="0"/>
                      <w:marRight w:val="0"/>
                      <w:marTop w:val="0"/>
                      <w:marBottom w:val="0"/>
                      <w:divBdr>
                        <w:top w:val="none" w:sz="0" w:space="0" w:color="auto"/>
                        <w:left w:val="none" w:sz="0" w:space="0" w:color="auto"/>
                        <w:bottom w:val="none" w:sz="0" w:space="0" w:color="auto"/>
                        <w:right w:val="none" w:sz="0" w:space="0" w:color="auto"/>
                      </w:divBdr>
                    </w:div>
                  </w:divsChild>
                </w:div>
                <w:div w:id="1012799464">
                  <w:marLeft w:val="0"/>
                  <w:marRight w:val="0"/>
                  <w:marTop w:val="0"/>
                  <w:marBottom w:val="0"/>
                  <w:divBdr>
                    <w:top w:val="none" w:sz="0" w:space="0" w:color="auto"/>
                    <w:left w:val="none" w:sz="0" w:space="0" w:color="auto"/>
                    <w:bottom w:val="none" w:sz="0" w:space="0" w:color="auto"/>
                    <w:right w:val="none" w:sz="0" w:space="0" w:color="auto"/>
                  </w:divBdr>
                  <w:divsChild>
                    <w:div w:id="645822033">
                      <w:marLeft w:val="0"/>
                      <w:marRight w:val="0"/>
                      <w:marTop w:val="0"/>
                      <w:marBottom w:val="0"/>
                      <w:divBdr>
                        <w:top w:val="none" w:sz="0" w:space="0" w:color="auto"/>
                        <w:left w:val="none" w:sz="0" w:space="0" w:color="auto"/>
                        <w:bottom w:val="none" w:sz="0" w:space="0" w:color="auto"/>
                        <w:right w:val="none" w:sz="0" w:space="0" w:color="auto"/>
                      </w:divBdr>
                    </w:div>
                  </w:divsChild>
                </w:div>
                <w:div w:id="1106345762">
                  <w:marLeft w:val="0"/>
                  <w:marRight w:val="0"/>
                  <w:marTop w:val="0"/>
                  <w:marBottom w:val="0"/>
                  <w:divBdr>
                    <w:top w:val="none" w:sz="0" w:space="0" w:color="auto"/>
                    <w:left w:val="none" w:sz="0" w:space="0" w:color="auto"/>
                    <w:bottom w:val="none" w:sz="0" w:space="0" w:color="auto"/>
                    <w:right w:val="none" w:sz="0" w:space="0" w:color="auto"/>
                  </w:divBdr>
                  <w:divsChild>
                    <w:div w:id="1525705377">
                      <w:marLeft w:val="0"/>
                      <w:marRight w:val="0"/>
                      <w:marTop w:val="0"/>
                      <w:marBottom w:val="0"/>
                      <w:divBdr>
                        <w:top w:val="none" w:sz="0" w:space="0" w:color="auto"/>
                        <w:left w:val="none" w:sz="0" w:space="0" w:color="auto"/>
                        <w:bottom w:val="none" w:sz="0" w:space="0" w:color="auto"/>
                        <w:right w:val="none" w:sz="0" w:space="0" w:color="auto"/>
                      </w:divBdr>
                    </w:div>
                  </w:divsChild>
                </w:div>
                <w:div w:id="1141970308">
                  <w:marLeft w:val="0"/>
                  <w:marRight w:val="0"/>
                  <w:marTop w:val="0"/>
                  <w:marBottom w:val="0"/>
                  <w:divBdr>
                    <w:top w:val="none" w:sz="0" w:space="0" w:color="auto"/>
                    <w:left w:val="none" w:sz="0" w:space="0" w:color="auto"/>
                    <w:bottom w:val="none" w:sz="0" w:space="0" w:color="auto"/>
                    <w:right w:val="none" w:sz="0" w:space="0" w:color="auto"/>
                  </w:divBdr>
                  <w:divsChild>
                    <w:div w:id="1665355726">
                      <w:marLeft w:val="0"/>
                      <w:marRight w:val="0"/>
                      <w:marTop w:val="0"/>
                      <w:marBottom w:val="0"/>
                      <w:divBdr>
                        <w:top w:val="none" w:sz="0" w:space="0" w:color="auto"/>
                        <w:left w:val="none" w:sz="0" w:space="0" w:color="auto"/>
                        <w:bottom w:val="none" w:sz="0" w:space="0" w:color="auto"/>
                        <w:right w:val="none" w:sz="0" w:space="0" w:color="auto"/>
                      </w:divBdr>
                    </w:div>
                  </w:divsChild>
                </w:div>
                <w:div w:id="1153985561">
                  <w:marLeft w:val="0"/>
                  <w:marRight w:val="0"/>
                  <w:marTop w:val="0"/>
                  <w:marBottom w:val="0"/>
                  <w:divBdr>
                    <w:top w:val="none" w:sz="0" w:space="0" w:color="auto"/>
                    <w:left w:val="none" w:sz="0" w:space="0" w:color="auto"/>
                    <w:bottom w:val="none" w:sz="0" w:space="0" w:color="auto"/>
                    <w:right w:val="none" w:sz="0" w:space="0" w:color="auto"/>
                  </w:divBdr>
                  <w:divsChild>
                    <w:div w:id="1743598060">
                      <w:marLeft w:val="0"/>
                      <w:marRight w:val="0"/>
                      <w:marTop w:val="0"/>
                      <w:marBottom w:val="0"/>
                      <w:divBdr>
                        <w:top w:val="none" w:sz="0" w:space="0" w:color="auto"/>
                        <w:left w:val="none" w:sz="0" w:space="0" w:color="auto"/>
                        <w:bottom w:val="none" w:sz="0" w:space="0" w:color="auto"/>
                        <w:right w:val="none" w:sz="0" w:space="0" w:color="auto"/>
                      </w:divBdr>
                    </w:div>
                  </w:divsChild>
                </w:div>
                <w:div w:id="1225599758">
                  <w:marLeft w:val="0"/>
                  <w:marRight w:val="0"/>
                  <w:marTop w:val="0"/>
                  <w:marBottom w:val="0"/>
                  <w:divBdr>
                    <w:top w:val="none" w:sz="0" w:space="0" w:color="auto"/>
                    <w:left w:val="none" w:sz="0" w:space="0" w:color="auto"/>
                    <w:bottom w:val="none" w:sz="0" w:space="0" w:color="auto"/>
                    <w:right w:val="none" w:sz="0" w:space="0" w:color="auto"/>
                  </w:divBdr>
                  <w:divsChild>
                    <w:div w:id="1824737143">
                      <w:marLeft w:val="0"/>
                      <w:marRight w:val="0"/>
                      <w:marTop w:val="0"/>
                      <w:marBottom w:val="0"/>
                      <w:divBdr>
                        <w:top w:val="none" w:sz="0" w:space="0" w:color="auto"/>
                        <w:left w:val="none" w:sz="0" w:space="0" w:color="auto"/>
                        <w:bottom w:val="none" w:sz="0" w:space="0" w:color="auto"/>
                        <w:right w:val="none" w:sz="0" w:space="0" w:color="auto"/>
                      </w:divBdr>
                    </w:div>
                  </w:divsChild>
                </w:div>
                <w:div w:id="1331641191">
                  <w:marLeft w:val="0"/>
                  <w:marRight w:val="0"/>
                  <w:marTop w:val="0"/>
                  <w:marBottom w:val="0"/>
                  <w:divBdr>
                    <w:top w:val="none" w:sz="0" w:space="0" w:color="auto"/>
                    <w:left w:val="none" w:sz="0" w:space="0" w:color="auto"/>
                    <w:bottom w:val="none" w:sz="0" w:space="0" w:color="auto"/>
                    <w:right w:val="none" w:sz="0" w:space="0" w:color="auto"/>
                  </w:divBdr>
                  <w:divsChild>
                    <w:div w:id="453599721">
                      <w:marLeft w:val="0"/>
                      <w:marRight w:val="0"/>
                      <w:marTop w:val="0"/>
                      <w:marBottom w:val="0"/>
                      <w:divBdr>
                        <w:top w:val="none" w:sz="0" w:space="0" w:color="auto"/>
                        <w:left w:val="none" w:sz="0" w:space="0" w:color="auto"/>
                        <w:bottom w:val="none" w:sz="0" w:space="0" w:color="auto"/>
                        <w:right w:val="none" w:sz="0" w:space="0" w:color="auto"/>
                      </w:divBdr>
                    </w:div>
                  </w:divsChild>
                </w:div>
                <w:div w:id="1348096168">
                  <w:marLeft w:val="0"/>
                  <w:marRight w:val="0"/>
                  <w:marTop w:val="0"/>
                  <w:marBottom w:val="0"/>
                  <w:divBdr>
                    <w:top w:val="none" w:sz="0" w:space="0" w:color="auto"/>
                    <w:left w:val="none" w:sz="0" w:space="0" w:color="auto"/>
                    <w:bottom w:val="none" w:sz="0" w:space="0" w:color="auto"/>
                    <w:right w:val="none" w:sz="0" w:space="0" w:color="auto"/>
                  </w:divBdr>
                  <w:divsChild>
                    <w:div w:id="1677338976">
                      <w:marLeft w:val="0"/>
                      <w:marRight w:val="0"/>
                      <w:marTop w:val="0"/>
                      <w:marBottom w:val="0"/>
                      <w:divBdr>
                        <w:top w:val="none" w:sz="0" w:space="0" w:color="auto"/>
                        <w:left w:val="none" w:sz="0" w:space="0" w:color="auto"/>
                        <w:bottom w:val="none" w:sz="0" w:space="0" w:color="auto"/>
                        <w:right w:val="none" w:sz="0" w:space="0" w:color="auto"/>
                      </w:divBdr>
                    </w:div>
                  </w:divsChild>
                </w:div>
                <w:div w:id="1424498771">
                  <w:marLeft w:val="0"/>
                  <w:marRight w:val="0"/>
                  <w:marTop w:val="0"/>
                  <w:marBottom w:val="0"/>
                  <w:divBdr>
                    <w:top w:val="none" w:sz="0" w:space="0" w:color="auto"/>
                    <w:left w:val="none" w:sz="0" w:space="0" w:color="auto"/>
                    <w:bottom w:val="none" w:sz="0" w:space="0" w:color="auto"/>
                    <w:right w:val="none" w:sz="0" w:space="0" w:color="auto"/>
                  </w:divBdr>
                  <w:divsChild>
                    <w:div w:id="1156066336">
                      <w:marLeft w:val="0"/>
                      <w:marRight w:val="0"/>
                      <w:marTop w:val="0"/>
                      <w:marBottom w:val="0"/>
                      <w:divBdr>
                        <w:top w:val="none" w:sz="0" w:space="0" w:color="auto"/>
                        <w:left w:val="none" w:sz="0" w:space="0" w:color="auto"/>
                        <w:bottom w:val="none" w:sz="0" w:space="0" w:color="auto"/>
                        <w:right w:val="none" w:sz="0" w:space="0" w:color="auto"/>
                      </w:divBdr>
                    </w:div>
                  </w:divsChild>
                </w:div>
                <w:div w:id="1564565550">
                  <w:marLeft w:val="0"/>
                  <w:marRight w:val="0"/>
                  <w:marTop w:val="0"/>
                  <w:marBottom w:val="0"/>
                  <w:divBdr>
                    <w:top w:val="none" w:sz="0" w:space="0" w:color="auto"/>
                    <w:left w:val="none" w:sz="0" w:space="0" w:color="auto"/>
                    <w:bottom w:val="none" w:sz="0" w:space="0" w:color="auto"/>
                    <w:right w:val="none" w:sz="0" w:space="0" w:color="auto"/>
                  </w:divBdr>
                  <w:divsChild>
                    <w:div w:id="1475677017">
                      <w:marLeft w:val="0"/>
                      <w:marRight w:val="0"/>
                      <w:marTop w:val="0"/>
                      <w:marBottom w:val="0"/>
                      <w:divBdr>
                        <w:top w:val="none" w:sz="0" w:space="0" w:color="auto"/>
                        <w:left w:val="none" w:sz="0" w:space="0" w:color="auto"/>
                        <w:bottom w:val="none" w:sz="0" w:space="0" w:color="auto"/>
                        <w:right w:val="none" w:sz="0" w:space="0" w:color="auto"/>
                      </w:divBdr>
                    </w:div>
                  </w:divsChild>
                </w:div>
                <w:div w:id="1567836925">
                  <w:marLeft w:val="0"/>
                  <w:marRight w:val="0"/>
                  <w:marTop w:val="0"/>
                  <w:marBottom w:val="0"/>
                  <w:divBdr>
                    <w:top w:val="none" w:sz="0" w:space="0" w:color="auto"/>
                    <w:left w:val="none" w:sz="0" w:space="0" w:color="auto"/>
                    <w:bottom w:val="none" w:sz="0" w:space="0" w:color="auto"/>
                    <w:right w:val="none" w:sz="0" w:space="0" w:color="auto"/>
                  </w:divBdr>
                  <w:divsChild>
                    <w:div w:id="880675873">
                      <w:marLeft w:val="0"/>
                      <w:marRight w:val="0"/>
                      <w:marTop w:val="0"/>
                      <w:marBottom w:val="0"/>
                      <w:divBdr>
                        <w:top w:val="none" w:sz="0" w:space="0" w:color="auto"/>
                        <w:left w:val="none" w:sz="0" w:space="0" w:color="auto"/>
                        <w:bottom w:val="none" w:sz="0" w:space="0" w:color="auto"/>
                        <w:right w:val="none" w:sz="0" w:space="0" w:color="auto"/>
                      </w:divBdr>
                    </w:div>
                  </w:divsChild>
                </w:div>
                <w:div w:id="1616794064">
                  <w:marLeft w:val="0"/>
                  <w:marRight w:val="0"/>
                  <w:marTop w:val="0"/>
                  <w:marBottom w:val="0"/>
                  <w:divBdr>
                    <w:top w:val="none" w:sz="0" w:space="0" w:color="auto"/>
                    <w:left w:val="none" w:sz="0" w:space="0" w:color="auto"/>
                    <w:bottom w:val="none" w:sz="0" w:space="0" w:color="auto"/>
                    <w:right w:val="none" w:sz="0" w:space="0" w:color="auto"/>
                  </w:divBdr>
                  <w:divsChild>
                    <w:div w:id="1976401064">
                      <w:marLeft w:val="0"/>
                      <w:marRight w:val="0"/>
                      <w:marTop w:val="0"/>
                      <w:marBottom w:val="0"/>
                      <w:divBdr>
                        <w:top w:val="none" w:sz="0" w:space="0" w:color="auto"/>
                        <w:left w:val="none" w:sz="0" w:space="0" w:color="auto"/>
                        <w:bottom w:val="none" w:sz="0" w:space="0" w:color="auto"/>
                        <w:right w:val="none" w:sz="0" w:space="0" w:color="auto"/>
                      </w:divBdr>
                    </w:div>
                  </w:divsChild>
                </w:div>
                <w:div w:id="1645819480">
                  <w:marLeft w:val="0"/>
                  <w:marRight w:val="0"/>
                  <w:marTop w:val="0"/>
                  <w:marBottom w:val="0"/>
                  <w:divBdr>
                    <w:top w:val="none" w:sz="0" w:space="0" w:color="auto"/>
                    <w:left w:val="none" w:sz="0" w:space="0" w:color="auto"/>
                    <w:bottom w:val="none" w:sz="0" w:space="0" w:color="auto"/>
                    <w:right w:val="none" w:sz="0" w:space="0" w:color="auto"/>
                  </w:divBdr>
                  <w:divsChild>
                    <w:div w:id="1855528981">
                      <w:marLeft w:val="0"/>
                      <w:marRight w:val="0"/>
                      <w:marTop w:val="0"/>
                      <w:marBottom w:val="0"/>
                      <w:divBdr>
                        <w:top w:val="none" w:sz="0" w:space="0" w:color="auto"/>
                        <w:left w:val="none" w:sz="0" w:space="0" w:color="auto"/>
                        <w:bottom w:val="none" w:sz="0" w:space="0" w:color="auto"/>
                        <w:right w:val="none" w:sz="0" w:space="0" w:color="auto"/>
                      </w:divBdr>
                    </w:div>
                  </w:divsChild>
                </w:div>
                <w:div w:id="1742286328">
                  <w:marLeft w:val="0"/>
                  <w:marRight w:val="0"/>
                  <w:marTop w:val="0"/>
                  <w:marBottom w:val="0"/>
                  <w:divBdr>
                    <w:top w:val="none" w:sz="0" w:space="0" w:color="auto"/>
                    <w:left w:val="none" w:sz="0" w:space="0" w:color="auto"/>
                    <w:bottom w:val="none" w:sz="0" w:space="0" w:color="auto"/>
                    <w:right w:val="none" w:sz="0" w:space="0" w:color="auto"/>
                  </w:divBdr>
                  <w:divsChild>
                    <w:div w:id="105273363">
                      <w:marLeft w:val="0"/>
                      <w:marRight w:val="0"/>
                      <w:marTop w:val="0"/>
                      <w:marBottom w:val="0"/>
                      <w:divBdr>
                        <w:top w:val="none" w:sz="0" w:space="0" w:color="auto"/>
                        <w:left w:val="none" w:sz="0" w:space="0" w:color="auto"/>
                        <w:bottom w:val="none" w:sz="0" w:space="0" w:color="auto"/>
                        <w:right w:val="none" w:sz="0" w:space="0" w:color="auto"/>
                      </w:divBdr>
                    </w:div>
                  </w:divsChild>
                </w:div>
                <w:div w:id="1763331380">
                  <w:marLeft w:val="0"/>
                  <w:marRight w:val="0"/>
                  <w:marTop w:val="0"/>
                  <w:marBottom w:val="0"/>
                  <w:divBdr>
                    <w:top w:val="none" w:sz="0" w:space="0" w:color="auto"/>
                    <w:left w:val="none" w:sz="0" w:space="0" w:color="auto"/>
                    <w:bottom w:val="none" w:sz="0" w:space="0" w:color="auto"/>
                    <w:right w:val="none" w:sz="0" w:space="0" w:color="auto"/>
                  </w:divBdr>
                  <w:divsChild>
                    <w:div w:id="384764658">
                      <w:marLeft w:val="0"/>
                      <w:marRight w:val="0"/>
                      <w:marTop w:val="0"/>
                      <w:marBottom w:val="0"/>
                      <w:divBdr>
                        <w:top w:val="none" w:sz="0" w:space="0" w:color="auto"/>
                        <w:left w:val="none" w:sz="0" w:space="0" w:color="auto"/>
                        <w:bottom w:val="none" w:sz="0" w:space="0" w:color="auto"/>
                        <w:right w:val="none" w:sz="0" w:space="0" w:color="auto"/>
                      </w:divBdr>
                    </w:div>
                  </w:divsChild>
                </w:div>
                <w:div w:id="1897164110">
                  <w:marLeft w:val="0"/>
                  <w:marRight w:val="0"/>
                  <w:marTop w:val="0"/>
                  <w:marBottom w:val="0"/>
                  <w:divBdr>
                    <w:top w:val="none" w:sz="0" w:space="0" w:color="auto"/>
                    <w:left w:val="none" w:sz="0" w:space="0" w:color="auto"/>
                    <w:bottom w:val="none" w:sz="0" w:space="0" w:color="auto"/>
                    <w:right w:val="none" w:sz="0" w:space="0" w:color="auto"/>
                  </w:divBdr>
                  <w:divsChild>
                    <w:div w:id="1239635333">
                      <w:marLeft w:val="0"/>
                      <w:marRight w:val="0"/>
                      <w:marTop w:val="0"/>
                      <w:marBottom w:val="0"/>
                      <w:divBdr>
                        <w:top w:val="none" w:sz="0" w:space="0" w:color="auto"/>
                        <w:left w:val="none" w:sz="0" w:space="0" w:color="auto"/>
                        <w:bottom w:val="none" w:sz="0" w:space="0" w:color="auto"/>
                        <w:right w:val="none" w:sz="0" w:space="0" w:color="auto"/>
                      </w:divBdr>
                    </w:div>
                  </w:divsChild>
                </w:div>
                <w:div w:id="1960910750">
                  <w:marLeft w:val="0"/>
                  <w:marRight w:val="0"/>
                  <w:marTop w:val="0"/>
                  <w:marBottom w:val="0"/>
                  <w:divBdr>
                    <w:top w:val="none" w:sz="0" w:space="0" w:color="auto"/>
                    <w:left w:val="none" w:sz="0" w:space="0" w:color="auto"/>
                    <w:bottom w:val="none" w:sz="0" w:space="0" w:color="auto"/>
                    <w:right w:val="none" w:sz="0" w:space="0" w:color="auto"/>
                  </w:divBdr>
                  <w:divsChild>
                    <w:div w:id="1096290889">
                      <w:marLeft w:val="0"/>
                      <w:marRight w:val="0"/>
                      <w:marTop w:val="0"/>
                      <w:marBottom w:val="0"/>
                      <w:divBdr>
                        <w:top w:val="none" w:sz="0" w:space="0" w:color="auto"/>
                        <w:left w:val="none" w:sz="0" w:space="0" w:color="auto"/>
                        <w:bottom w:val="none" w:sz="0" w:space="0" w:color="auto"/>
                        <w:right w:val="none" w:sz="0" w:space="0" w:color="auto"/>
                      </w:divBdr>
                    </w:div>
                  </w:divsChild>
                </w:div>
                <w:div w:id="2058163400">
                  <w:marLeft w:val="0"/>
                  <w:marRight w:val="0"/>
                  <w:marTop w:val="0"/>
                  <w:marBottom w:val="0"/>
                  <w:divBdr>
                    <w:top w:val="none" w:sz="0" w:space="0" w:color="auto"/>
                    <w:left w:val="none" w:sz="0" w:space="0" w:color="auto"/>
                    <w:bottom w:val="none" w:sz="0" w:space="0" w:color="auto"/>
                    <w:right w:val="none" w:sz="0" w:space="0" w:color="auto"/>
                  </w:divBdr>
                  <w:divsChild>
                    <w:div w:id="2043244995">
                      <w:marLeft w:val="0"/>
                      <w:marRight w:val="0"/>
                      <w:marTop w:val="0"/>
                      <w:marBottom w:val="0"/>
                      <w:divBdr>
                        <w:top w:val="none" w:sz="0" w:space="0" w:color="auto"/>
                        <w:left w:val="none" w:sz="0" w:space="0" w:color="auto"/>
                        <w:bottom w:val="none" w:sz="0" w:space="0" w:color="auto"/>
                        <w:right w:val="none" w:sz="0" w:space="0" w:color="auto"/>
                      </w:divBdr>
                    </w:div>
                  </w:divsChild>
                </w:div>
                <w:div w:id="2059432656">
                  <w:marLeft w:val="0"/>
                  <w:marRight w:val="0"/>
                  <w:marTop w:val="0"/>
                  <w:marBottom w:val="0"/>
                  <w:divBdr>
                    <w:top w:val="none" w:sz="0" w:space="0" w:color="auto"/>
                    <w:left w:val="none" w:sz="0" w:space="0" w:color="auto"/>
                    <w:bottom w:val="none" w:sz="0" w:space="0" w:color="auto"/>
                    <w:right w:val="none" w:sz="0" w:space="0" w:color="auto"/>
                  </w:divBdr>
                  <w:divsChild>
                    <w:div w:id="3000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6285">
          <w:marLeft w:val="0"/>
          <w:marRight w:val="0"/>
          <w:marTop w:val="0"/>
          <w:marBottom w:val="0"/>
          <w:divBdr>
            <w:top w:val="none" w:sz="0" w:space="0" w:color="auto"/>
            <w:left w:val="none" w:sz="0" w:space="0" w:color="auto"/>
            <w:bottom w:val="none" w:sz="0" w:space="0" w:color="auto"/>
            <w:right w:val="none" w:sz="0" w:space="0" w:color="auto"/>
          </w:divBdr>
        </w:div>
        <w:div w:id="1607612823">
          <w:marLeft w:val="0"/>
          <w:marRight w:val="0"/>
          <w:marTop w:val="0"/>
          <w:marBottom w:val="0"/>
          <w:divBdr>
            <w:top w:val="none" w:sz="0" w:space="0" w:color="auto"/>
            <w:left w:val="none" w:sz="0" w:space="0" w:color="auto"/>
            <w:bottom w:val="none" w:sz="0" w:space="0" w:color="auto"/>
            <w:right w:val="none" w:sz="0" w:space="0" w:color="auto"/>
          </w:divBdr>
        </w:div>
        <w:div w:id="1754205857">
          <w:marLeft w:val="0"/>
          <w:marRight w:val="0"/>
          <w:marTop w:val="0"/>
          <w:marBottom w:val="0"/>
          <w:divBdr>
            <w:top w:val="none" w:sz="0" w:space="0" w:color="auto"/>
            <w:left w:val="none" w:sz="0" w:space="0" w:color="auto"/>
            <w:bottom w:val="none" w:sz="0" w:space="0" w:color="auto"/>
            <w:right w:val="none" w:sz="0" w:space="0" w:color="auto"/>
          </w:divBdr>
        </w:div>
      </w:divsChild>
    </w:div>
    <w:div w:id="1486775424">
      <w:bodyDiv w:val="1"/>
      <w:marLeft w:val="0"/>
      <w:marRight w:val="0"/>
      <w:marTop w:val="0"/>
      <w:marBottom w:val="0"/>
      <w:divBdr>
        <w:top w:val="none" w:sz="0" w:space="0" w:color="auto"/>
        <w:left w:val="none" w:sz="0" w:space="0" w:color="auto"/>
        <w:bottom w:val="none" w:sz="0" w:space="0" w:color="auto"/>
        <w:right w:val="none" w:sz="0" w:space="0" w:color="auto"/>
      </w:divBdr>
    </w:div>
    <w:div w:id="1725786655">
      <w:bodyDiv w:val="1"/>
      <w:marLeft w:val="0"/>
      <w:marRight w:val="0"/>
      <w:marTop w:val="0"/>
      <w:marBottom w:val="0"/>
      <w:divBdr>
        <w:top w:val="none" w:sz="0" w:space="0" w:color="auto"/>
        <w:left w:val="none" w:sz="0" w:space="0" w:color="auto"/>
        <w:bottom w:val="none" w:sz="0" w:space="0" w:color="auto"/>
        <w:right w:val="none" w:sz="0" w:space="0" w:color="auto"/>
      </w:divBdr>
    </w:div>
    <w:div w:id="1787191239">
      <w:bodyDiv w:val="1"/>
      <w:marLeft w:val="0"/>
      <w:marRight w:val="0"/>
      <w:marTop w:val="0"/>
      <w:marBottom w:val="0"/>
      <w:divBdr>
        <w:top w:val="none" w:sz="0" w:space="0" w:color="auto"/>
        <w:left w:val="none" w:sz="0" w:space="0" w:color="auto"/>
        <w:bottom w:val="none" w:sz="0" w:space="0" w:color="auto"/>
        <w:right w:val="none" w:sz="0" w:space="0" w:color="auto"/>
      </w:divBdr>
    </w:div>
    <w:div w:id="1861973037">
      <w:bodyDiv w:val="1"/>
      <w:marLeft w:val="0"/>
      <w:marRight w:val="0"/>
      <w:marTop w:val="0"/>
      <w:marBottom w:val="0"/>
      <w:divBdr>
        <w:top w:val="none" w:sz="0" w:space="0" w:color="auto"/>
        <w:left w:val="none" w:sz="0" w:space="0" w:color="auto"/>
        <w:bottom w:val="none" w:sz="0" w:space="0" w:color="auto"/>
        <w:right w:val="none" w:sz="0" w:space="0" w:color="auto"/>
      </w:divBdr>
    </w:div>
    <w:div w:id="186439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cosc.sharepoint.com/sites/CAFR" TargetMode="External"/><Relationship Id="rId18" Type="http://schemas.openxmlformats.org/officeDocument/2006/relationships/hyperlink" Target="https://www.osc.nc.gov/state-agency-resources/north-carolina-accounting-system-ncas/statewide-financial-reporting/gasb-resources/gasb-87" TargetMode="External"/><Relationship Id="rId26" Type="http://schemas.openxmlformats.org/officeDocument/2006/relationships/hyperlink" Target="http://en.wikipedia.org/wiki/Security_(finance)" TargetMode="External"/><Relationship Id="rId39" Type="http://schemas.microsoft.com/office/2020/10/relationships/intelligence" Target="intelligence2.xml"/><Relationship Id="rId21" Type="http://schemas.openxmlformats.org/officeDocument/2006/relationships/hyperlink" Target="https://www.osc.nc.gov/state-agency-resources/north-carolina-accounting-system-ncas/statewide-financial-reporting/gasb-resources/gasb-effective-fy-2019"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ncosc.sharepoint.com/sites/CAFR" TargetMode="External"/><Relationship Id="rId17" Type="http://schemas.openxmlformats.org/officeDocument/2006/relationships/hyperlink" Target="https://www.ncosc.gov/training/ncfs-system-training/ncfs-help-documents/combining-int-fa-006-and-int-fa-007" TargetMode="External"/><Relationship Id="rId25" Type="http://schemas.openxmlformats.org/officeDocument/2006/relationships/hyperlink" Target="https://www.ncosc.gov/state-agency-resources/chart-account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cosc.gov/training/ncfs-system-training/ncfs-help-documents/combining-int-fa-006-and-int-fa-007" TargetMode="External"/><Relationship Id="rId20" Type="http://schemas.openxmlformats.org/officeDocument/2006/relationships/hyperlink" Target="https://www.osc.nc.gov/state-agency-resources/north-carolina-accounting-system-ncas/statewide-financial-reporting/gasb-resources/gasb-effective-fy-2019" TargetMode="External"/><Relationship Id="rId29" Type="http://schemas.openxmlformats.org/officeDocument/2006/relationships/hyperlink" Target="http://en.wikipedia.org/wiki/Mone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sc.nc.gov/state-agency-resources/north-carolina-accounting-system-ncas/statewide-financial-reporting/gasb-resources/effective-fy-2016"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ncosc.sharepoint.com/sites/CAFR" TargetMode="External"/><Relationship Id="rId23" Type="http://schemas.openxmlformats.org/officeDocument/2006/relationships/image" Target="media/image1.png"/><Relationship Id="rId28" Type="http://schemas.openxmlformats.org/officeDocument/2006/relationships/hyperlink" Target="http://en.wikipedia.org/wiki/Corporation"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osc.nc.gov/gasb-standard-96/op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cosc.sharepoint.com/sites/CAFR" TargetMode="External"/><Relationship Id="rId22" Type="http://schemas.openxmlformats.org/officeDocument/2006/relationships/hyperlink" Target="https://www.ncosc.gov/state-agency-resources/statewide-policy-directory/1015-statewide-accounting-policy-fund-balance-reporting" TargetMode="External"/><Relationship Id="rId27" Type="http://schemas.openxmlformats.org/officeDocument/2006/relationships/hyperlink" Target="http://en.wikipedia.org/wiki/Bank" TargetMode="External"/><Relationship Id="rId30" Type="http://schemas.openxmlformats.org/officeDocument/2006/relationships/hyperlink" Target="http://en.wikipedia.org/wiki/Debt"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OracleSVData>
  <generic>
    <item key="SV_QUERY_LIST_4F35BF76-6C0D-4D9B-82B2-816C12CF3733">
      <compressed size="84">eJwdijEKgDAQBOdDgSiSw/I0vsMqpWBh4+8dZIubud3Bxc3Dy8lCmM5EpZEUdqnLxa7JISUHm9/inV2s/6JqqYf+Ae3nCpA=</compressed>
    </item>
    <item key="SV_HIDDEN_GRID_QUERY_LIST_4F35BF76-6C0D-4D9B-82B2-816C12CF3733">
      <compressed size="84">eJwdijEKgDAQBOdDgSiSw/I0vsMqpWBh4+8dZIubud3Bxc3Dy8lCmM5EpZEUdqnLxa7JISUHm9/inV2s/6JqqYf+Ae3nCpA=</compressed>
    </item>
  </generic>
</OracleSV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DAD092CE268B4A9CFCAE20B18605CD" ma:contentTypeVersion="13" ma:contentTypeDescription="Create a new document." ma:contentTypeScope="" ma:versionID="816be3f1d84d830574610c903672ebdf">
  <xsd:schema xmlns:xsd="http://www.w3.org/2001/XMLSchema" xmlns:xs="http://www.w3.org/2001/XMLSchema" xmlns:p="http://schemas.microsoft.com/office/2006/metadata/properties" xmlns:ns2="3ec2570d-002d-43d9-b4d8-cd927734fd5c" xmlns:ns3="f1a921d8-526c-43e3-8a93-f9bf9ad79650" targetNamespace="http://schemas.microsoft.com/office/2006/metadata/properties" ma:root="true" ma:fieldsID="9dcbd1f1d7f7020188508df2d0d28f0b" ns2:_="" ns3:_="">
    <xsd:import namespace="3ec2570d-002d-43d9-b4d8-cd927734fd5c"/>
    <xsd:import namespace="f1a921d8-526c-43e3-8a93-f9bf9ad796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2570d-002d-43d9-b4d8-cd927734f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3cfa9a-e889-43e5-9e7e-099e1654cb8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921d8-526c-43e3-8a93-f9bf9ad796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7866d6-2ba6-4cf9-bf73-e51f30d4693c}" ma:internalName="TaxCatchAll" ma:showField="CatchAllData" ma:web="f1a921d8-526c-43e3-8a93-f9bf9ad79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1a921d8-526c-43e3-8a93-f9bf9ad79650" xsi:nil="true"/>
    <lcf76f155ced4ddcb4097134ff3c332f xmlns="3ec2570d-002d-43d9-b4d8-cd927734fd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2AAAE5-299B-429D-9B7E-C78383EAC7C9}">
  <ds:schemaRefs>
    <ds:schemaRef ds:uri="http://schemas.openxmlformats.org/officeDocument/2006/bibliography"/>
  </ds:schemaRefs>
</ds:datastoreItem>
</file>

<file path=customXml/itemProps2.xml><?xml version="1.0" encoding="utf-8"?>
<ds:datastoreItem xmlns:ds="http://schemas.openxmlformats.org/officeDocument/2006/customXml" ds:itemID="{D434A418-3E7A-4BA0-B937-5BC6A6554DBF}">
  <ds:schemaRefs/>
</ds:datastoreItem>
</file>

<file path=customXml/itemProps3.xml><?xml version="1.0" encoding="utf-8"?>
<ds:datastoreItem xmlns:ds="http://schemas.openxmlformats.org/officeDocument/2006/customXml" ds:itemID="{DC8A9425-3DD4-44BB-80D1-F6E944945851}">
  <ds:schemaRefs>
    <ds:schemaRef ds:uri="http://schemas.microsoft.com/sharepoint/v3/contenttype/forms"/>
  </ds:schemaRefs>
</ds:datastoreItem>
</file>

<file path=customXml/itemProps4.xml><?xml version="1.0" encoding="utf-8"?>
<ds:datastoreItem xmlns:ds="http://schemas.openxmlformats.org/officeDocument/2006/customXml" ds:itemID="{FB7D8FD4-BCD2-488E-81AD-4ABF6220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2570d-002d-43d9-b4d8-cd927734fd5c"/>
    <ds:schemaRef ds:uri="f1a921d8-526c-43e3-8a93-f9bf9ad7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0D1D89-B799-4C41-B3EE-74A3B5A77737}">
  <ds:schemaRefs>
    <ds:schemaRef ds:uri="http://schemas.microsoft.com/office/2006/metadata/properties"/>
    <ds:schemaRef ds:uri="http://schemas.microsoft.com/office/infopath/2007/PartnerControls"/>
    <ds:schemaRef ds:uri="f1a921d8-526c-43e3-8a93-f9bf9ad79650"/>
    <ds:schemaRef ds:uri="3ec2570d-002d-43d9-b4d8-cd927734fd5c"/>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42</Pages>
  <Words>22383</Words>
  <Characters>128246</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OFFICE OF THE STATE CONTROLLER</vt:lpstr>
    </vt:vector>
  </TitlesOfParts>
  <Company>North Carolina</Company>
  <LinksUpToDate>false</LinksUpToDate>
  <CharactersWithSpaces>150329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CONTROLLER</dc:title>
  <dc:subject/>
  <dc:creator>Office of the State Controller</dc:creator>
  <cp:keywords/>
  <cp:lastModifiedBy>Joan Saucier</cp:lastModifiedBy>
  <cp:revision>169</cp:revision>
  <cp:lastPrinted>2021-02-16T05:31:00Z</cp:lastPrinted>
  <dcterms:created xsi:type="dcterms:W3CDTF">2024-08-06T02:36:00Z</dcterms:created>
  <dcterms:modified xsi:type="dcterms:W3CDTF">2025-07-23T21:05:00Z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0x01010028DAD092CE268B4A9CFCAE20B18605CD</vt:lpwstr>
  </property>
  <property fmtid="{D5CDD505-2E9C-101B-9397-08002B2CF9AE}" pid="3" name="_ExtendedDescription">
    <vt:lpwstr/>
  </property>
  <property fmtid="{D5CDD505-2E9C-101B-9397-08002B2CF9AE}" pid="4" name="ClassificationContentMarkingFooterShapeIds">
    <vt:lpwstr>33e386c0,3ffb2eaf,10382e63</vt:lpwstr>
  </property>
  <property fmtid="{D5CDD505-2E9C-101B-9397-08002B2CF9AE}" pid="5" name="ClassificationContentMarkingFooterFontProps">
    <vt:lpwstr>#000000,10,Calibri</vt:lpwstr>
  </property>
  <property fmtid="{D5CDD505-2E9C-101B-9397-08002B2CF9AE}" pid="6" name="ClassificationContentMarkingFooterText">
    <vt:lpwstr>RESTRICTED per N.C.G.S. § 126-22</vt:lpwstr>
  </property>
  <property fmtid="{D5CDD505-2E9C-101B-9397-08002B2CF9AE}" pid="7" name="MSIP_Label_d572645c-2f5f-4a2d-bc06-c9aad57184a4_Enabled">
    <vt:lpwstr>true</vt:lpwstr>
  </property>
  <property fmtid="{D5CDD505-2E9C-101B-9397-08002B2CF9AE}" pid="8" name="MSIP_Label_d572645c-2f5f-4a2d-bc06-c9aad57184a4_SetDate">
    <vt:lpwstr>2025-02-05T20:30:46Z</vt:lpwstr>
  </property>
  <property fmtid="{D5CDD505-2E9C-101B-9397-08002B2CF9AE}" pid="9" name="MSIP_Label_d572645c-2f5f-4a2d-bc06-c9aad57184a4_Method">
    <vt:lpwstr>Standard</vt:lpwstr>
  </property>
  <property fmtid="{D5CDD505-2E9C-101B-9397-08002B2CF9AE}" pid="10" name="MSIP_Label_d572645c-2f5f-4a2d-bc06-c9aad57184a4_Name">
    <vt:lpwstr>Personnel Records</vt:lpwstr>
  </property>
  <property fmtid="{D5CDD505-2E9C-101B-9397-08002B2CF9AE}" pid="11" name="MSIP_Label_d572645c-2f5f-4a2d-bc06-c9aad57184a4_SiteId">
    <vt:lpwstr>a1f43f48-54fe-433f-9378-968b45bc6665</vt:lpwstr>
  </property>
  <property fmtid="{D5CDD505-2E9C-101B-9397-08002B2CF9AE}" pid="12" name="MSIP_Label_d572645c-2f5f-4a2d-bc06-c9aad57184a4_ActionId">
    <vt:lpwstr>ecbdbb21-01b6-4716-abe7-eb8f3d4b6af6</vt:lpwstr>
  </property>
  <property fmtid="{D5CDD505-2E9C-101B-9397-08002B2CF9AE}" pid="13" name="MSIP_Label_d572645c-2f5f-4a2d-bc06-c9aad57184a4_ContentBits">
    <vt:lpwstr>2</vt:lpwstr>
  </property>
  <property fmtid="{D5CDD505-2E9C-101B-9397-08002B2CF9AE}" pid="14" name="MediaServiceImageTags">
    <vt:lpwstr/>
  </property>
</Properties>
</file>